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7F6F" w14:textId="77777777" w:rsidR="00C47E56" w:rsidRPr="00C47E56" w:rsidRDefault="00C47E56" w:rsidP="00C47E56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062D7AE7" w14:textId="7A642025" w:rsidR="00C47E56" w:rsidRDefault="00C47E56" w:rsidP="00C47E56">
      <w:pPr>
        <w:jc w:val="center"/>
        <w:rPr>
          <w:b/>
          <w:bCs/>
          <w:lang w:val="tg-Cyrl-TJ"/>
        </w:rPr>
      </w:pPr>
      <w:r>
        <w:rPr>
          <w:b/>
          <w:bCs/>
        </w:rPr>
        <w:t xml:space="preserve">«Комплексное исследование позиций бренда и замер </w:t>
      </w:r>
      <w:r>
        <w:rPr>
          <w:b/>
          <w:bCs/>
          <w:lang w:val="en-US"/>
        </w:rPr>
        <w:t>NPS</w:t>
      </w:r>
      <w:r>
        <w:rPr>
          <w:b/>
          <w:bCs/>
        </w:rPr>
        <w:t xml:space="preserve"> Банк </w:t>
      </w:r>
      <w:proofErr w:type="spellStart"/>
      <w:r>
        <w:rPr>
          <w:b/>
          <w:bCs/>
        </w:rPr>
        <w:t>Эсхата</w:t>
      </w:r>
      <w:proofErr w:type="spellEnd"/>
      <w:r>
        <w:rPr>
          <w:b/>
          <w:bCs/>
        </w:rPr>
        <w:t xml:space="preserve"> на рынке Таджикистана»</w:t>
      </w:r>
    </w:p>
    <w:p w14:paraId="30CC2037" w14:textId="77777777" w:rsidR="00861852" w:rsidRPr="00861852" w:rsidRDefault="00861852" w:rsidP="004B5516">
      <w:pPr>
        <w:jc w:val="both"/>
        <w:rPr>
          <w:b/>
          <w:bCs/>
          <w:lang w:val="tg-Cyrl-TJ"/>
        </w:rPr>
      </w:pPr>
    </w:p>
    <w:p w14:paraId="3DED4330" w14:textId="77777777" w:rsidR="00861852" w:rsidRPr="00861852" w:rsidRDefault="00861852" w:rsidP="004B5516">
      <w:pPr>
        <w:jc w:val="both"/>
        <w:rPr>
          <w:b/>
          <w:bCs/>
        </w:rPr>
      </w:pPr>
      <w:r>
        <w:rPr>
          <w:b/>
          <w:bCs/>
        </w:rPr>
        <w:t xml:space="preserve">Краткое описание ОАО «Банк </w:t>
      </w:r>
      <w:proofErr w:type="spellStart"/>
      <w:r>
        <w:rPr>
          <w:b/>
          <w:bCs/>
        </w:rPr>
        <w:t>Эсхата</w:t>
      </w:r>
      <w:proofErr w:type="spellEnd"/>
      <w:r>
        <w:rPr>
          <w:b/>
          <w:bCs/>
        </w:rPr>
        <w:t>»</w:t>
      </w:r>
    </w:p>
    <w:p w14:paraId="523762E0" w14:textId="77777777" w:rsidR="00861852" w:rsidRPr="00861852" w:rsidRDefault="00861852" w:rsidP="004B5516">
      <w:pPr>
        <w:jc w:val="both"/>
      </w:pPr>
      <w:r>
        <w:t xml:space="preserve">ОАО «Банк </w:t>
      </w:r>
      <w:proofErr w:type="spellStart"/>
      <w:r>
        <w:t>Эсхата</w:t>
      </w:r>
      <w:proofErr w:type="spellEnd"/>
      <w:r>
        <w:t xml:space="preserve">» — один из крупнейших системообразующих банков Республики Таджикистан, входящий в число лидеров банковского сектора страны. Головной офис Банка расположен в городе Худжанд. Банк осуществляет деятельность с 1994 года и предоставляет полный спектр банковских услуг для физических и юридических лиц. </w:t>
      </w:r>
    </w:p>
    <w:p w14:paraId="31D90E6E" w14:textId="77777777" w:rsidR="00861852" w:rsidRPr="00861852" w:rsidRDefault="00861852" w:rsidP="004B5516">
      <w:pPr>
        <w:jc w:val="both"/>
      </w:pPr>
      <w:r>
        <w:t xml:space="preserve">Банк занимает устойчивые позиции на рынке и входит в тройку–пятёрку крупнейших банков Таджикистана по основным финансовым показателям и масштабу деятельности. </w:t>
      </w:r>
    </w:p>
    <w:p w14:paraId="6F0B70BE" w14:textId="77777777" w:rsidR="00861852" w:rsidRPr="00861852" w:rsidRDefault="00861852" w:rsidP="004B5516">
      <w:pPr>
        <w:jc w:val="both"/>
      </w:pPr>
      <w:r>
        <w:t>Региональная сеть Банка охватывает практически всю территорию страны и включает:</w:t>
      </w:r>
    </w:p>
    <w:p w14:paraId="24F1209C" w14:textId="1FFD2836" w:rsidR="00861852" w:rsidRPr="00861852" w:rsidRDefault="00861852" w:rsidP="004B5516">
      <w:pPr>
        <w:numPr>
          <w:ilvl w:val="0"/>
          <w:numId w:val="37"/>
        </w:numPr>
        <w:jc w:val="both"/>
      </w:pPr>
      <w:r>
        <w:rPr>
          <w:lang w:val="tg-Cyrl-TJ"/>
        </w:rPr>
        <w:t>33</w:t>
      </w:r>
      <w:r>
        <w:t xml:space="preserve"> филиалов; </w:t>
      </w:r>
    </w:p>
    <w:p w14:paraId="517CD69D" w14:textId="5F23E7B2" w:rsidR="00861852" w:rsidRPr="00861852" w:rsidRDefault="00861852" w:rsidP="004B5516">
      <w:pPr>
        <w:numPr>
          <w:ilvl w:val="0"/>
          <w:numId w:val="37"/>
        </w:numPr>
        <w:jc w:val="both"/>
      </w:pPr>
      <w:r>
        <w:rPr>
          <w:lang w:val="tg-Cyrl-TJ"/>
        </w:rPr>
        <w:t>107</w:t>
      </w:r>
      <w:r>
        <w:t xml:space="preserve"> центров банковского обслуживания; </w:t>
      </w:r>
    </w:p>
    <w:p w14:paraId="3D422BFD" w14:textId="77777777" w:rsidR="00861852" w:rsidRPr="00861852" w:rsidRDefault="00861852" w:rsidP="004B5516">
      <w:pPr>
        <w:numPr>
          <w:ilvl w:val="0"/>
          <w:numId w:val="37"/>
        </w:numPr>
        <w:jc w:val="both"/>
      </w:pPr>
      <w:r>
        <w:t xml:space="preserve">широкую сеть пунктов денежных переводов и обслуживания клиентов. </w:t>
      </w:r>
    </w:p>
    <w:p w14:paraId="2E9E526B" w14:textId="77777777" w:rsidR="00861852" w:rsidRPr="00861852" w:rsidRDefault="00861852" w:rsidP="004B5516">
      <w:pPr>
        <w:jc w:val="both"/>
      </w:pPr>
      <w:r>
        <w:t>Клиентская база Банка включает:</w:t>
      </w:r>
    </w:p>
    <w:p w14:paraId="0ACC8D9E" w14:textId="77777777" w:rsidR="00861852" w:rsidRPr="00861852" w:rsidRDefault="00861852" w:rsidP="004B5516">
      <w:pPr>
        <w:numPr>
          <w:ilvl w:val="0"/>
          <w:numId w:val="38"/>
        </w:numPr>
        <w:jc w:val="both"/>
      </w:pPr>
      <w:r>
        <w:t xml:space="preserve">физических лиц; </w:t>
      </w:r>
    </w:p>
    <w:p w14:paraId="6461A975" w14:textId="77777777" w:rsidR="00861852" w:rsidRPr="00861852" w:rsidRDefault="00861852" w:rsidP="004B5516">
      <w:pPr>
        <w:numPr>
          <w:ilvl w:val="0"/>
          <w:numId w:val="38"/>
        </w:numPr>
        <w:jc w:val="both"/>
      </w:pPr>
      <w:r>
        <w:t xml:space="preserve">малый и средний бизнес; </w:t>
      </w:r>
    </w:p>
    <w:p w14:paraId="11AEDD26" w14:textId="77777777" w:rsidR="00861852" w:rsidRPr="00861852" w:rsidRDefault="00861852" w:rsidP="004B5516">
      <w:pPr>
        <w:numPr>
          <w:ilvl w:val="0"/>
          <w:numId w:val="38"/>
        </w:numPr>
        <w:jc w:val="both"/>
      </w:pPr>
      <w:r>
        <w:t xml:space="preserve">корпоративных клиентов; </w:t>
      </w:r>
    </w:p>
    <w:p w14:paraId="7C66C701" w14:textId="77777777" w:rsidR="00861852" w:rsidRPr="00861852" w:rsidRDefault="00861852" w:rsidP="004B5516">
      <w:pPr>
        <w:numPr>
          <w:ilvl w:val="0"/>
          <w:numId w:val="38"/>
        </w:numPr>
        <w:jc w:val="both"/>
      </w:pPr>
      <w:r>
        <w:t xml:space="preserve">пользователей </w:t>
      </w:r>
      <w:proofErr w:type="spellStart"/>
      <w:r>
        <w:t>digital</w:t>
      </w:r>
      <w:proofErr w:type="spellEnd"/>
      <w:r>
        <w:t xml:space="preserve">-сервисов и мобильного банкинга. </w:t>
      </w:r>
    </w:p>
    <w:p w14:paraId="0DED6727" w14:textId="77777777" w:rsidR="00861852" w:rsidRPr="00861852" w:rsidRDefault="00861852" w:rsidP="004B5516">
      <w:pPr>
        <w:jc w:val="both"/>
      </w:pPr>
      <w:r>
        <w:t>Банк активно развивает цифровые каналы обслуживания, включая мобильное приложение «</w:t>
      </w:r>
      <w:proofErr w:type="spellStart"/>
      <w:r>
        <w:t>Эсхата</w:t>
      </w:r>
      <w:proofErr w:type="spellEnd"/>
      <w:r>
        <w:t xml:space="preserve"> Онлайн», дистанционные банковские сервисы и безналичные платежные решения. </w:t>
      </w:r>
    </w:p>
    <w:p w14:paraId="679B0B52" w14:textId="2E02553C" w:rsidR="00861852" w:rsidRDefault="00861852" w:rsidP="004B5516">
      <w:pPr>
        <w:jc w:val="both"/>
        <w:rPr>
          <w:lang w:val="tg-Cyrl-TJ"/>
        </w:rPr>
      </w:pPr>
      <w:r>
        <w:t xml:space="preserve">Основными ценностями Банка являются надежность, устойчивость, инновационность и клиентоориентированность. Среди акционеров Банка присутствует Европейский банк реконструкции и развития (ЕБРР). </w:t>
      </w:r>
      <w:r>
        <w:br/>
      </w:r>
      <w:r>
        <w:br/>
      </w:r>
      <w:r>
        <w:rPr>
          <w:b/>
          <w:bCs/>
        </w:rPr>
        <w:t>Стратегическая цель:</w:t>
      </w:r>
      <w:r>
        <w:t xml:space="preserve"> обеспечить переход Банка в статус «банка первого выбора» за счёт увеличения доли основного использования клиентами (рост MAU, кредитных и пассивных продуктов), повышения ценности и удобства сервисов, а также формирования устойчивой ежедневной вовлечённости клиентов в экосистему Банка.</w:t>
      </w:r>
    </w:p>
    <w:p w14:paraId="7B3A5BCB" w14:textId="77777777" w:rsidR="004919BB" w:rsidRDefault="004919BB" w:rsidP="004B5516">
      <w:pPr>
        <w:jc w:val="both"/>
        <w:rPr>
          <w:lang w:val="tg-Cyrl-TJ"/>
        </w:rPr>
      </w:pPr>
    </w:p>
    <w:p w14:paraId="6ED70D76" w14:textId="77777777" w:rsidR="004B5516" w:rsidRDefault="004B5516" w:rsidP="004B5516">
      <w:pPr>
        <w:jc w:val="both"/>
        <w:rPr>
          <w:lang w:val="tg-Cyrl-TJ"/>
        </w:rPr>
      </w:pPr>
    </w:p>
    <w:p w14:paraId="467CB782" w14:textId="1FC48DAD" w:rsidR="00C47E56" w:rsidRPr="00C47E56" w:rsidRDefault="00C47E56" w:rsidP="00C47E56">
      <w:pPr>
        <w:rPr>
          <w:b/>
          <w:bCs/>
        </w:rPr>
      </w:pPr>
      <w:r>
        <w:rPr>
          <w:b/>
          <w:bCs/>
        </w:rPr>
        <w:lastRenderedPageBreak/>
        <w:t>1. Общие сведения</w:t>
      </w:r>
    </w:p>
    <w:p w14:paraId="3998D383" w14:textId="77777777" w:rsidR="00C47E56" w:rsidRPr="00C47E56" w:rsidRDefault="00C47E56" w:rsidP="00C47E56">
      <w:pPr>
        <w:rPr>
          <w:b/>
          <w:bCs/>
        </w:rPr>
      </w:pPr>
      <w:r>
        <w:rPr>
          <w:b/>
          <w:bCs/>
        </w:rPr>
        <w:t>1.1. Идентификация проекта</w:t>
      </w:r>
    </w:p>
    <w:p w14:paraId="36F727E6" w14:textId="392C025A" w:rsidR="00C47E56" w:rsidRPr="007D33AC" w:rsidRDefault="00C47E56" w:rsidP="00C47E56">
      <w:r>
        <w:rPr>
          <w:b/>
          <w:bCs/>
        </w:rPr>
        <w:t>Проект:</w:t>
      </w:r>
      <w:r>
        <w:br/>
        <w:t xml:space="preserve">Комплексное исследование позиций бренда </w:t>
      </w:r>
      <w:r>
        <w:rPr>
          <w:lang w:val="tg-Cyrl-TJ"/>
        </w:rPr>
        <w:t xml:space="preserve">и замер </w:t>
      </w:r>
      <w:r>
        <w:rPr>
          <w:lang w:val="en-US"/>
        </w:rPr>
        <w:t>NPS</w:t>
      </w:r>
      <w:r>
        <w:t xml:space="preserve"> ОАО «Банк </w:t>
      </w:r>
      <w:proofErr w:type="spellStart"/>
      <w:r>
        <w:t>Эсхата</w:t>
      </w:r>
      <w:proofErr w:type="spellEnd"/>
      <w:r>
        <w:t xml:space="preserve">» </w:t>
      </w:r>
    </w:p>
    <w:p w14:paraId="42C27E31" w14:textId="77777777" w:rsidR="00C47E56" w:rsidRPr="00C47E56" w:rsidRDefault="00C47E56" w:rsidP="00C47E56">
      <w:r>
        <w:rPr>
          <w:b/>
          <w:bCs/>
        </w:rPr>
        <w:t>Заказчик:</w:t>
      </w:r>
      <w:r>
        <w:br/>
        <w:t xml:space="preserve">ОАО «Банк </w:t>
      </w:r>
      <w:proofErr w:type="spellStart"/>
      <w:r>
        <w:t>Эсхата</w:t>
      </w:r>
      <w:proofErr w:type="spellEnd"/>
      <w:r>
        <w:t>»</w:t>
      </w:r>
    </w:p>
    <w:p w14:paraId="3A6FFD43" w14:textId="77777777" w:rsidR="00C47E56" w:rsidRPr="00C47E56" w:rsidRDefault="00C47E56" w:rsidP="00C47E56">
      <w:r>
        <w:rPr>
          <w:b/>
          <w:bCs/>
        </w:rPr>
        <w:t>Инициатор:</w:t>
      </w:r>
      <w:r>
        <w:br/>
        <w:t>Департамент маркетинга</w:t>
      </w:r>
    </w:p>
    <w:p w14:paraId="2AFED7B1" w14:textId="77777777" w:rsidR="00C47E56" w:rsidRDefault="00C47E56"/>
    <w:p w14:paraId="236C9C4E" w14:textId="77777777" w:rsidR="00C47E56" w:rsidRPr="00C47E56" w:rsidRDefault="00C47E56" w:rsidP="00C47E56">
      <w:pPr>
        <w:rPr>
          <w:b/>
          <w:bCs/>
        </w:rPr>
      </w:pPr>
      <w:r>
        <w:rPr>
          <w:b/>
          <w:bCs/>
        </w:rPr>
        <w:t>1.2. Назначение документа</w:t>
      </w:r>
    </w:p>
    <w:p w14:paraId="18B5217F" w14:textId="6DEA987D" w:rsidR="00C47E56" w:rsidRPr="00C47E56" w:rsidRDefault="00C47E56" w:rsidP="00C47E56">
      <w:r>
        <w:t>Настоящий документ определяет требования к проведению комплексного маркетингового исследования, направленного на оценку текущего положения бренда (</w:t>
      </w:r>
      <w:r>
        <w:rPr>
          <w:lang w:val="en-US"/>
        </w:rPr>
        <w:t>Brand</w:t>
      </w:r>
      <w:r>
        <w:t xml:space="preserve"> </w:t>
      </w:r>
      <w:r>
        <w:rPr>
          <w:lang w:val="en-US"/>
        </w:rPr>
        <w:t>Health</w:t>
      </w:r>
      <w:r>
        <w:t xml:space="preserve">) </w:t>
      </w:r>
      <w:r>
        <w:rPr>
          <w:lang w:val="tg-Cyrl-TJ"/>
        </w:rPr>
        <w:t xml:space="preserve">и </w:t>
      </w:r>
      <w:r>
        <w:t>измерение</w:t>
      </w:r>
      <w:r>
        <w:rPr>
          <w:lang w:val="tg-Cyrl-TJ"/>
        </w:rPr>
        <w:t xml:space="preserve"> </w:t>
      </w:r>
      <w:r>
        <w:rPr>
          <w:lang w:val="en-US"/>
        </w:rPr>
        <w:t>NPS</w:t>
      </w:r>
      <w:r>
        <w:t xml:space="preserve"> Банка </w:t>
      </w:r>
      <w:proofErr w:type="spellStart"/>
      <w:r>
        <w:t>Эсхата</w:t>
      </w:r>
      <w:proofErr w:type="spellEnd"/>
      <w:r>
        <w:t xml:space="preserve"> на рынке Таджикистана, а также выявление зон роста и точек усиления.</w:t>
      </w:r>
    </w:p>
    <w:p w14:paraId="121E721B" w14:textId="77777777" w:rsidR="00C47E56" w:rsidRDefault="00C47E56"/>
    <w:p w14:paraId="42C550F1" w14:textId="6BEAC4EA" w:rsidR="00C47E56" w:rsidRDefault="00C47E56" w:rsidP="00C47E56">
      <w:pPr>
        <w:rPr>
          <w:b/>
          <w:bCs/>
          <w:lang w:val="tg-Cyrl-TJ"/>
        </w:rPr>
      </w:pPr>
      <w:r>
        <w:rPr>
          <w:b/>
          <w:bCs/>
        </w:rPr>
        <w:t>2. Цель исследования</w:t>
      </w:r>
    </w:p>
    <w:p w14:paraId="2C53EF59" w14:textId="5F3434F7" w:rsidR="00E8253C" w:rsidRPr="005C4054" w:rsidRDefault="007D33AC" w:rsidP="00E8253C">
      <w:r>
        <w:rPr>
          <w:b/>
          <w:bCs/>
          <w:lang w:val="tg-Cyrl-TJ"/>
        </w:rPr>
        <w:t xml:space="preserve">2.1. </w:t>
      </w:r>
      <w:r>
        <w:rPr>
          <w:b/>
          <w:bCs/>
        </w:rPr>
        <w:t>Основная цель:</w:t>
      </w:r>
      <w:r>
        <w:rPr>
          <w:b/>
          <w:bCs/>
        </w:rPr>
        <w:br/>
      </w:r>
      <w:r>
        <w:t xml:space="preserve">Оценить текущую позицию бренда </w:t>
      </w:r>
      <w:proofErr w:type="spellStart"/>
      <w:r>
        <w:t>Эсхата</w:t>
      </w:r>
      <w:proofErr w:type="spellEnd"/>
      <w:r>
        <w:t xml:space="preserve"> Банк в контексте реализации стратегии 2026–2028 и трансформации из «банка для своих» в «банк первого выбора» для клиентов и партнёров.</w:t>
      </w:r>
      <w:r w:rsidR="005C4054" w:rsidRPr="00210CD8">
        <w:t xml:space="preserve"> </w:t>
      </w:r>
      <w:r w:rsidR="005C4054">
        <w:rPr>
          <w:lang w:val="uk-UA"/>
        </w:rPr>
        <w:t xml:space="preserve">Для </w:t>
      </w:r>
      <w:r w:rsidR="005C4054">
        <w:t>этого наша задача узнать, что означает для клиентов «Банк для своих»? Несет ли это ценность?</w:t>
      </w:r>
    </w:p>
    <w:p w14:paraId="2B11FEFA" w14:textId="77777777" w:rsidR="00E8253C" w:rsidRPr="00E8253C" w:rsidRDefault="00E8253C" w:rsidP="00E8253C">
      <w:r>
        <w:t>Исследование должно определить текущий уровень восприятия бренда, клиентской лояльности (NPS), удовлетворённости, узнаваемости и конкурентной позиции банка на рынке банковских услуг Таджикистана, а также выявить ключевые факторы, влияющие на выбор банка, клиентский опыт и удержание клиентов.</w:t>
      </w:r>
    </w:p>
    <w:p w14:paraId="6C6F87E5" w14:textId="2AE88835" w:rsidR="00E8253C" w:rsidRDefault="00E8253C" w:rsidP="00E8253C">
      <w:r>
        <w:t xml:space="preserve">Дополнительно исследование должно сформировать </w:t>
      </w:r>
      <w:proofErr w:type="spellStart"/>
      <w:r>
        <w:t>baseline</w:t>
      </w:r>
      <w:proofErr w:type="spellEnd"/>
      <w:r>
        <w:t xml:space="preserve"> метрики для дальнейшего отслеживания прогресса бренда, эффективности стратегических изменений и достижения цели по росту клиентской базы. </w:t>
      </w:r>
    </w:p>
    <w:p w14:paraId="4B38D23C" w14:textId="58DAFD80" w:rsidR="00E3343E" w:rsidRPr="00E8253C" w:rsidRDefault="00E3343E" w:rsidP="00E8253C">
      <w:r>
        <w:t>Необходимо подготовить 2 выборки: клиенты банка и неклиенты (клиенты других банков), для того чтобы иметь возможность сравнивать показатели.</w:t>
      </w:r>
    </w:p>
    <w:p w14:paraId="67FD1B60" w14:textId="0DBD5C8C" w:rsidR="007D33AC" w:rsidRDefault="007D33AC" w:rsidP="00C47E56">
      <w:pPr>
        <w:rPr>
          <w:b/>
          <w:bCs/>
          <w:lang w:val="tg-Cyrl-TJ"/>
        </w:rPr>
      </w:pPr>
    </w:p>
    <w:p w14:paraId="5C8A1396" w14:textId="77777777" w:rsidR="00E8253C" w:rsidRPr="007D33AC" w:rsidRDefault="00E8253C" w:rsidP="00C47E56">
      <w:pPr>
        <w:rPr>
          <w:b/>
          <w:bCs/>
          <w:lang w:val="tg-Cyrl-TJ"/>
        </w:rPr>
      </w:pPr>
    </w:p>
    <w:p w14:paraId="4F2D1D3B" w14:textId="740682B4" w:rsidR="007D33AC" w:rsidRPr="007D33AC" w:rsidRDefault="007D33AC" w:rsidP="007D33AC">
      <w:pPr>
        <w:rPr>
          <w:b/>
          <w:bCs/>
        </w:rPr>
      </w:pPr>
      <w:r>
        <w:rPr>
          <w:b/>
          <w:bCs/>
        </w:rPr>
        <w:t>2.2. Подцели Brand Health</w:t>
      </w:r>
    </w:p>
    <w:p w14:paraId="49663AD2" w14:textId="5BE8E094" w:rsidR="007D33AC" w:rsidRPr="007D33AC" w:rsidRDefault="00E8253C" w:rsidP="007D33AC">
      <w:pPr>
        <w:numPr>
          <w:ilvl w:val="0"/>
          <w:numId w:val="5"/>
        </w:numPr>
      </w:pPr>
      <w:r>
        <w:t>Измерение уровня спонтанной узнаваемости бренда (</w:t>
      </w:r>
      <w:proofErr w:type="spellStart"/>
      <w:r>
        <w:t>Spontaneous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gramStart"/>
      <w:r w:rsidR="00E3343E">
        <w:t xml:space="preserve">- </w:t>
      </w:r>
      <w:r>
        <w:t xml:space="preserve"> Top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Mind</w:t>
      </w:r>
      <w:r w:rsidR="00E3343E">
        <w:t xml:space="preserve"> – «первый названный»</w:t>
      </w:r>
      <w:r>
        <w:t>) среди банков Таджикистана</w:t>
      </w:r>
      <w:r w:rsidR="00E3343E">
        <w:t xml:space="preserve">, измерение </w:t>
      </w:r>
      <w:r w:rsidR="00E3343E">
        <w:lastRenderedPageBreak/>
        <w:t xml:space="preserve">спонтанного знания «среди всех названных брендов», измерение знания с подсказкой. </w:t>
      </w:r>
      <w:r>
        <w:t xml:space="preserve">Оценка восприятия и имиджа </w:t>
      </w:r>
      <w:r w:rsidR="00E3343E">
        <w:t>– какие характеристики присущи банку в большей / меньшей степени по сравнению с другими брендами</w:t>
      </w:r>
    </w:p>
    <w:p w14:paraId="3E0F8249" w14:textId="3C6D2802" w:rsidR="00E8253C" w:rsidRDefault="00E8253C" w:rsidP="007D33AC">
      <w:pPr>
        <w:numPr>
          <w:ilvl w:val="0"/>
          <w:numId w:val="5"/>
        </w:numPr>
      </w:pPr>
      <w:r>
        <w:t>Определение уровня использования продуктов и услуг банка за последние 6 месяцев (</w:t>
      </w:r>
      <w:proofErr w:type="spellStart"/>
      <w:r>
        <w:t>Usage</w:t>
      </w:r>
      <w:proofErr w:type="spellEnd"/>
      <w:r>
        <w:t>)</w:t>
      </w:r>
      <w:r w:rsidR="00E3343E">
        <w:t>. Сравнение с конкурентами</w:t>
      </w:r>
    </w:p>
    <w:p w14:paraId="6E3682C4" w14:textId="5CE2A872" w:rsidR="00E8253C" w:rsidRDefault="00E8253C" w:rsidP="007D33AC">
      <w:pPr>
        <w:numPr>
          <w:ilvl w:val="0"/>
          <w:numId w:val="5"/>
        </w:numPr>
      </w:pPr>
      <w:r>
        <w:t>Измерение уровня рассмотрения банка клиентами при выборе финансового партнёра (</w:t>
      </w:r>
      <w:proofErr w:type="spellStart"/>
      <w:r>
        <w:t>Consideration</w:t>
      </w:r>
      <w:proofErr w:type="spellEnd"/>
      <w:r>
        <w:t>)</w:t>
      </w:r>
      <w:r w:rsidR="00E3343E">
        <w:t>. Сравнение с конкурентами</w:t>
      </w:r>
    </w:p>
    <w:p w14:paraId="34534E9D" w14:textId="34E07943" w:rsidR="00E8253C" w:rsidRDefault="00E8253C" w:rsidP="00E8253C">
      <w:pPr>
        <w:pStyle w:val="a7"/>
        <w:numPr>
          <w:ilvl w:val="0"/>
          <w:numId w:val="5"/>
        </w:numPr>
      </w:pPr>
      <w:r>
        <w:t>Оценка конверсии из знания бренда в фактическое использование продуктов и услуг банка (</w:t>
      </w:r>
      <w:proofErr w:type="spellStart"/>
      <w:r>
        <w:t>Conversion</w:t>
      </w:r>
      <w:proofErr w:type="spellEnd"/>
      <w:r>
        <w:t xml:space="preserve">: </w:t>
      </w:r>
      <w:proofErr w:type="spellStart"/>
      <w:r>
        <w:t>awareness</w:t>
      </w:r>
      <w:proofErr w:type="spellEnd"/>
      <w:r>
        <w:t xml:space="preserve"> - </w:t>
      </w:r>
      <w:proofErr w:type="spellStart"/>
      <w:r>
        <w:t>usage</w:t>
      </w:r>
      <w:proofErr w:type="spellEnd"/>
      <w:r>
        <w:t>)</w:t>
      </w:r>
      <w:r w:rsidR="00E3343E">
        <w:t>. Сравнение с конкурентами</w:t>
      </w:r>
    </w:p>
    <w:p w14:paraId="4C1C6EAE" w14:textId="3E875098" w:rsidR="006F26D5" w:rsidRDefault="006F26D5" w:rsidP="00E8253C">
      <w:pPr>
        <w:pStyle w:val="a7"/>
        <w:numPr>
          <w:ilvl w:val="0"/>
          <w:numId w:val="5"/>
        </w:numPr>
      </w:pPr>
      <w:r>
        <w:t>Измерение уровня доверия, удовлетворённости и эмоционального восприятия бренда среди клиентов и неклиентов банка</w:t>
      </w:r>
      <w:r w:rsidR="00E3343E">
        <w:t>. Сравнение с конкурентами</w:t>
      </w:r>
    </w:p>
    <w:p w14:paraId="4A87797D" w14:textId="38E54E04" w:rsidR="003C4F3F" w:rsidRDefault="003C4F3F" w:rsidP="00E8253C">
      <w:pPr>
        <w:pStyle w:val="a7"/>
        <w:numPr>
          <w:ilvl w:val="0"/>
          <w:numId w:val="5"/>
        </w:numPr>
      </w:pPr>
      <w:r>
        <w:t>Ментальная карта: какие ассоциации возникают с брендом. Сравнение с конкурентами</w:t>
      </w:r>
    </w:p>
    <w:p w14:paraId="619E8F67" w14:textId="093AC8F0" w:rsidR="006F26D5" w:rsidRDefault="006F26D5" w:rsidP="00E8253C">
      <w:pPr>
        <w:pStyle w:val="a7"/>
        <w:numPr>
          <w:ilvl w:val="0"/>
          <w:numId w:val="5"/>
        </w:numPr>
      </w:pPr>
      <w:r>
        <w:t>Определение ключевых факторов выбора банка и критериев принятия решения клиентами</w:t>
      </w:r>
    </w:p>
    <w:p w14:paraId="5C8E669F" w14:textId="21D2C756" w:rsidR="006F26D5" w:rsidRDefault="006F26D5" w:rsidP="00E8253C">
      <w:pPr>
        <w:pStyle w:val="a7"/>
        <w:numPr>
          <w:ilvl w:val="0"/>
          <w:numId w:val="5"/>
        </w:numPr>
      </w:pPr>
      <w:r>
        <w:t xml:space="preserve">Сравнение ключевых Brand Health метрик банка с основными </w:t>
      </w:r>
      <w:proofErr w:type="gramStart"/>
      <w:r w:rsidR="003C4F3F">
        <w:t xml:space="preserve">конкурентами </w:t>
      </w:r>
      <w:r>
        <w:t xml:space="preserve"> на</w:t>
      </w:r>
      <w:proofErr w:type="gramEnd"/>
      <w:r>
        <w:t xml:space="preserve"> рынке банковских услуг Таджикистана</w:t>
      </w:r>
    </w:p>
    <w:p w14:paraId="2450504F" w14:textId="77777777" w:rsidR="00E8253C" w:rsidRDefault="00E8253C" w:rsidP="007D33AC"/>
    <w:p w14:paraId="0B996E77" w14:textId="7AFBAE08" w:rsidR="007D33AC" w:rsidRPr="007D33AC" w:rsidRDefault="007D33AC" w:rsidP="007D33AC">
      <w:pPr>
        <w:rPr>
          <w:b/>
          <w:bCs/>
          <w:lang w:val="tg-Cyrl-TJ"/>
        </w:rPr>
      </w:pPr>
      <w:r>
        <w:rPr>
          <w:b/>
          <w:bCs/>
        </w:rPr>
        <w:t xml:space="preserve">2.3. Подцели </w:t>
      </w:r>
      <w:r>
        <w:rPr>
          <w:b/>
          <w:bCs/>
          <w:lang w:val="en-US"/>
        </w:rPr>
        <w:t>NPS</w:t>
      </w:r>
      <w:r>
        <w:rPr>
          <w:b/>
          <w:bCs/>
        </w:rPr>
        <w:t xml:space="preserve"> </w:t>
      </w:r>
    </w:p>
    <w:p w14:paraId="3CCDA3FC" w14:textId="533C6DB4" w:rsidR="007D33AC" w:rsidRPr="007D33AC" w:rsidRDefault="007D33AC" w:rsidP="007D33AC">
      <w:pPr>
        <w:pStyle w:val="a7"/>
        <w:numPr>
          <w:ilvl w:val="0"/>
          <w:numId w:val="5"/>
        </w:numPr>
        <w:spacing w:line="360" w:lineRule="auto"/>
      </w:pPr>
      <w:r>
        <w:t xml:space="preserve">Измерение уровня клиентской лояльности к банку и его продуктам </w:t>
      </w:r>
    </w:p>
    <w:p w14:paraId="3818DE94" w14:textId="01850B4E" w:rsidR="007D33AC" w:rsidRPr="007D33AC" w:rsidRDefault="007D33AC" w:rsidP="007D33AC">
      <w:pPr>
        <w:pStyle w:val="a7"/>
        <w:numPr>
          <w:ilvl w:val="0"/>
          <w:numId w:val="5"/>
        </w:numPr>
        <w:spacing w:line="360" w:lineRule="auto"/>
      </w:pPr>
      <w:r>
        <w:t xml:space="preserve">Выявление причин удовлетворенности и неудовлетворенности клиентов </w:t>
      </w:r>
    </w:p>
    <w:p w14:paraId="39CD1488" w14:textId="4EA4162B" w:rsidR="007D33AC" w:rsidRDefault="007D33AC" w:rsidP="007D33AC">
      <w:pPr>
        <w:pStyle w:val="a7"/>
        <w:numPr>
          <w:ilvl w:val="0"/>
          <w:numId w:val="5"/>
        </w:numPr>
        <w:spacing w:line="360" w:lineRule="auto"/>
      </w:pPr>
      <w:r>
        <w:t>Определение слабых мест в клиентском опыте (сервисы, процессы, персонал, цифровые каналы)</w:t>
      </w:r>
    </w:p>
    <w:p w14:paraId="5AE67D96" w14:textId="713C6DFB" w:rsidR="003C4F3F" w:rsidRPr="007D33AC" w:rsidRDefault="003C4F3F" w:rsidP="007D33AC">
      <w:pPr>
        <w:pStyle w:val="a7"/>
        <w:numPr>
          <w:ilvl w:val="0"/>
          <w:numId w:val="5"/>
        </w:numPr>
        <w:spacing w:line="360" w:lineRule="auto"/>
      </w:pPr>
      <w:r>
        <w:t>Определение сильных сторон банка/бренда</w:t>
      </w:r>
    </w:p>
    <w:p w14:paraId="69BB9F57" w14:textId="77777777" w:rsidR="007D33AC" w:rsidRPr="007D33AC" w:rsidRDefault="007D33AC" w:rsidP="007D33AC">
      <w:pPr>
        <w:pStyle w:val="a7"/>
      </w:pPr>
    </w:p>
    <w:p w14:paraId="68B53710" w14:textId="22981DE1" w:rsidR="00C47E56" w:rsidRPr="00C47E56" w:rsidRDefault="00C47E56" w:rsidP="00C47E56">
      <w:pPr>
        <w:rPr>
          <w:b/>
          <w:bCs/>
        </w:rPr>
      </w:pPr>
      <w:r>
        <w:rPr>
          <w:b/>
          <w:bCs/>
        </w:rPr>
        <w:t>3. Область исследования</w:t>
      </w:r>
    </w:p>
    <w:p w14:paraId="0B0E6298" w14:textId="77777777" w:rsidR="00C47E56" w:rsidRPr="00C47E56" w:rsidRDefault="00C47E56" w:rsidP="00C47E56">
      <w:pPr>
        <w:rPr>
          <w:b/>
          <w:bCs/>
        </w:rPr>
      </w:pPr>
      <w:r>
        <w:rPr>
          <w:b/>
          <w:bCs/>
        </w:rPr>
        <w:t>3.1. География</w:t>
      </w:r>
    </w:p>
    <w:p w14:paraId="41E90569" w14:textId="77777777" w:rsidR="00C47E56" w:rsidRPr="00C47E56" w:rsidRDefault="00C47E56" w:rsidP="00C47E56">
      <w:pPr>
        <w:numPr>
          <w:ilvl w:val="0"/>
          <w:numId w:val="2"/>
        </w:numPr>
      </w:pPr>
      <w:r>
        <w:t xml:space="preserve">Республика Таджикистан </w:t>
      </w:r>
    </w:p>
    <w:p w14:paraId="56EDBFA6" w14:textId="1C911E71" w:rsidR="00FD6B8A" w:rsidRPr="00FD6B8A" w:rsidRDefault="00FD6B8A" w:rsidP="00BA061E">
      <w:pPr>
        <w:numPr>
          <w:ilvl w:val="0"/>
          <w:numId w:val="2"/>
        </w:numPr>
      </w:pPr>
      <w:r>
        <w:t>Города (</w:t>
      </w:r>
      <w:proofErr w:type="spellStart"/>
      <w:r>
        <w:t>Эсхата</w:t>
      </w:r>
      <w:proofErr w:type="spellEnd"/>
      <w:r>
        <w:t xml:space="preserve">): </w:t>
      </w:r>
      <w:r>
        <w:rPr>
          <w:lang w:val="tg-Cyrl-TJ"/>
        </w:rPr>
        <w:br/>
      </w:r>
      <w:r>
        <w:t>Душанбе</w:t>
      </w:r>
      <w:r>
        <w:rPr>
          <w:lang w:val="tg-Cyrl-TJ"/>
        </w:rPr>
        <w:t xml:space="preserve"> </w:t>
      </w:r>
      <w:r>
        <w:t xml:space="preserve">– 200 </w:t>
      </w:r>
      <w:proofErr w:type="spellStart"/>
      <w:r>
        <w:t>респ</w:t>
      </w:r>
      <w:proofErr w:type="spellEnd"/>
      <w:r>
        <w:t xml:space="preserve">., Худжанд – 120 </w:t>
      </w:r>
      <w:proofErr w:type="spellStart"/>
      <w:r>
        <w:t>респ</w:t>
      </w:r>
      <w:proofErr w:type="spellEnd"/>
      <w:r>
        <w:t xml:space="preserve">., </w:t>
      </w:r>
      <w:proofErr w:type="spellStart"/>
      <w:r>
        <w:t>Бохтар</w:t>
      </w:r>
      <w:proofErr w:type="spellEnd"/>
      <w:r>
        <w:t xml:space="preserve"> – 100 </w:t>
      </w:r>
      <w:proofErr w:type="spellStart"/>
      <w:r>
        <w:t>респ</w:t>
      </w:r>
      <w:proofErr w:type="spellEnd"/>
      <w:r>
        <w:t xml:space="preserve">., Куляб – 80 </w:t>
      </w:r>
      <w:proofErr w:type="spellStart"/>
      <w:r>
        <w:t>респ</w:t>
      </w:r>
      <w:proofErr w:type="spellEnd"/>
      <w:r>
        <w:t>.</w:t>
      </w:r>
      <w:r>
        <w:rPr>
          <w:lang w:val="tg-Cyrl-TJ"/>
        </w:rPr>
        <w:br/>
        <w:t xml:space="preserve">Итог:  500 респондентов клиентов Эсхата </w:t>
      </w:r>
    </w:p>
    <w:p w14:paraId="5ACFBF0F" w14:textId="1377E352" w:rsidR="006F26D5" w:rsidRDefault="00FD6B8A" w:rsidP="00BA061E">
      <w:pPr>
        <w:numPr>
          <w:ilvl w:val="0"/>
          <w:numId w:val="2"/>
        </w:numPr>
      </w:pPr>
      <w:r>
        <w:t>Города (другие финансовые организации): Душанбе</w:t>
      </w:r>
      <w:r>
        <w:rPr>
          <w:lang w:val="tg-Cyrl-TJ"/>
        </w:rPr>
        <w:t xml:space="preserve"> </w:t>
      </w:r>
      <w:r>
        <w:t xml:space="preserve">– </w:t>
      </w:r>
      <w:r w:rsidR="00BC05A5">
        <w:t>200</w:t>
      </w:r>
      <w:r>
        <w:t xml:space="preserve"> </w:t>
      </w:r>
      <w:proofErr w:type="spellStart"/>
      <w:r>
        <w:t>респ</w:t>
      </w:r>
      <w:proofErr w:type="spellEnd"/>
      <w:r>
        <w:t xml:space="preserve">., Худжанд – </w:t>
      </w:r>
      <w:r w:rsidR="00BC05A5">
        <w:t>100</w:t>
      </w:r>
      <w:r>
        <w:t xml:space="preserve"> </w:t>
      </w:r>
      <w:proofErr w:type="spellStart"/>
      <w:r>
        <w:t>респ</w:t>
      </w:r>
      <w:proofErr w:type="spellEnd"/>
      <w:r>
        <w:t xml:space="preserve">., </w:t>
      </w:r>
      <w:proofErr w:type="spellStart"/>
      <w:r>
        <w:t>Бохтар</w:t>
      </w:r>
      <w:proofErr w:type="spellEnd"/>
      <w:r>
        <w:t xml:space="preserve"> – </w:t>
      </w:r>
      <w:r w:rsidR="00BC05A5">
        <w:t>100</w:t>
      </w:r>
      <w:r>
        <w:t xml:space="preserve"> </w:t>
      </w:r>
      <w:proofErr w:type="spellStart"/>
      <w:r>
        <w:t>респ</w:t>
      </w:r>
      <w:proofErr w:type="spellEnd"/>
      <w:r>
        <w:t xml:space="preserve">., Куляб – </w:t>
      </w:r>
      <w:r w:rsidR="00BC05A5">
        <w:t>100</w:t>
      </w:r>
      <w:r>
        <w:t xml:space="preserve"> </w:t>
      </w:r>
      <w:proofErr w:type="spellStart"/>
      <w:r>
        <w:t>респ</w:t>
      </w:r>
      <w:proofErr w:type="spellEnd"/>
      <w:r>
        <w:t>.</w:t>
      </w:r>
      <w:r>
        <w:rPr>
          <w:lang w:val="tg-Cyrl-TJ"/>
        </w:rPr>
        <w:br/>
        <w:t xml:space="preserve">Итог:  </w:t>
      </w:r>
      <w:r w:rsidR="00BC05A5">
        <w:rPr>
          <w:lang w:val="tg-Cyrl-TJ"/>
        </w:rPr>
        <w:t xml:space="preserve">500 </w:t>
      </w:r>
      <w:r>
        <w:rPr>
          <w:lang w:val="tg-Cyrl-TJ"/>
        </w:rPr>
        <w:t>респондентов клиентов других финансовых организаций</w:t>
      </w:r>
    </w:p>
    <w:p w14:paraId="62B9841C" w14:textId="77777777" w:rsidR="00746986" w:rsidRPr="00746986" w:rsidRDefault="00746986" w:rsidP="00746986">
      <w:pPr>
        <w:rPr>
          <w:b/>
          <w:bCs/>
        </w:rPr>
      </w:pPr>
      <w:r>
        <w:rPr>
          <w:b/>
          <w:bCs/>
        </w:rPr>
        <w:t>3.2. Целевая аудитория</w:t>
      </w:r>
    </w:p>
    <w:p w14:paraId="020E0170" w14:textId="77777777" w:rsidR="00746986" w:rsidRPr="00746986" w:rsidRDefault="00746986" w:rsidP="00746986">
      <w:r>
        <w:rPr>
          <w:b/>
          <w:bCs/>
        </w:rPr>
        <w:lastRenderedPageBreak/>
        <w:t>Физические лица:</w:t>
      </w:r>
    </w:p>
    <w:p w14:paraId="6E59E24D" w14:textId="3E47C06A" w:rsidR="00746986" w:rsidRPr="00746986" w:rsidRDefault="00746986" w:rsidP="00746986">
      <w:pPr>
        <w:numPr>
          <w:ilvl w:val="0"/>
          <w:numId w:val="3"/>
        </w:numPr>
      </w:pPr>
      <w:r>
        <w:t xml:space="preserve">действующие клиенты </w:t>
      </w:r>
      <w:r>
        <w:rPr>
          <w:lang w:val="tg-Cyrl-TJ"/>
        </w:rPr>
        <w:t xml:space="preserve">“Эсхата </w:t>
      </w:r>
      <w:r>
        <w:t>банк</w:t>
      </w:r>
      <w:r>
        <w:rPr>
          <w:lang w:val="tg-Cyrl-TJ"/>
        </w:rPr>
        <w:t xml:space="preserve">” </w:t>
      </w:r>
      <w:r>
        <w:br/>
        <w:t>- 25%-</w:t>
      </w:r>
      <w:proofErr w:type="spellStart"/>
      <w:r>
        <w:t>ов</w:t>
      </w:r>
      <w:proofErr w:type="spellEnd"/>
      <w:r>
        <w:t xml:space="preserve"> от 18 до 25 лет,</w:t>
      </w:r>
      <w:r>
        <w:br/>
        <w:t>- 35%-</w:t>
      </w:r>
      <w:proofErr w:type="spellStart"/>
      <w:r>
        <w:t>ов</w:t>
      </w:r>
      <w:proofErr w:type="spellEnd"/>
      <w:r>
        <w:t xml:space="preserve"> от 26 до 35 лет,</w:t>
      </w:r>
      <w:r>
        <w:br/>
        <w:t>- 25%-</w:t>
      </w:r>
      <w:proofErr w:type="spellStart"/>
      <w:r>
        <w:t>ов</w:t>
      </w:r>
      <w:proofErr w:type="spellEnd"/>
      <w:r>
        <w:t xml:space="preserve"> от 36 до 45 лет,</w:t>
      </w:r>
      <w:r>
        <w:br/>
        <w:t>- 15%-</w:t>
      </w:r>
      <w:proofErr w:type="spellStart"/>
      <w:r>
        <w:t>ов</w:t>
      </w:r>
      <w:proofErr w:type="spellEnd"/>
      <w:r>
        <w:t xml:space="preserve"> от 46 до 55 лет</w:t>
      </w:r>
    </w:p>
    <w:p w14:paraId="094BA228" w14:textId="285FFF30" w:rsidR="00746986" w:rsidRDefault="008A74CA" w:rsidP="00746986">
      <w:pPr>
        <w:numPr>
          <w:ilvl w:val="0"/>
          <w:numId w:val="3"/>
        </w:numPr>
      </w:pPr>
      <w:r w:rsidRPr="008A74CA">
        <w:t>Клиенты других банков (конкурентов)</w:t>
      </w:r>
      <w:r>
        <w:t xml:space="preserve"> </w:t>
      </w:r>
      <w:r w:rsidR="00746986">
        <w:br/>
        <w:t>- 25%-</w:t>
      </w:r>
      <w:proofErr w:type="spellStart"/>
      <w:r w:rsidR="00746986">
        <w:t>ов</w:t>
      </w:r>
      <w:proofErr w:type="spellEnd"/>
      <w:r w:rsidR="00746986">
        <w:t xml:space="preserve"> от 18 до 25 лет,</w:t>
      </w:r>
      <w:r w:rsidR="00746986">
        <w:br/>
        <w:t>- 35%-</w:t>
      </w:r>
      <w:proofErr w:type="spellStart"/>
      <w:r w:rsidR="00746986">
        <w:t>ов</w:t>
      </w:r>
      <w:proofErr w:type="spellEnd"/>
      <w:r w:rsidR="00746986">
        <w:t xml:space="preserve"> от 26 до 35 лет,</w:t>
      </w:r>
      <w:r w:rsidR="00746986">
        <w:br/>
        <w:t>- 25%-</w:t>
      </w:r>
      <w:proofErr w:type="spellStart"/>
      <w:r w:rsidR="00746986">
        <w:t>ов</w:t>
      </w:r>
      <w:proofErr w:type="spellEnd"/>
      <w:r w:rsidR="00746986">
        <w:t xml:space="preserve"> от 36 до 45 лет,</w:t>
      </w:r>
      <w:r w:rsidR="00746986">
        <w:br/>
        <w:t>- 15%-</w:t>
      </w:r>
      <w:proofErr w:type="spellStart"/>
      <w:r w:rsidR="00746986">
        <w:t>ов</w:t>
      </w:r>
      <w:proofErr w:type="spellEnd"/>
      <w:r w:rsidR="00746986">
        <w:t xml:space="preserve"> от 46 до 55 лет</w:t>
      </w:r>
    </w:p>
    <w:p w14:paraId="48124EDF" w14:textId="77777777" w:rsidR="00BC05A5" w:rsidRPr="00BC05A5" w:rsidRDefault="00BC05A5" w:rsidP="00BC05A5">
      <w:pPr>
        <w:pStyle w:val="a7"/>
        <w:numPr>
          <w:ilvl w:val="0"/>
          <w:numId w:val="3"/>
        </w:numPr>
        <w:rPr>
          <w:b/>
          <w:bCs/>
        </w:rPr>
      </w:pPr>
      <w:r w:rsidRPr="00BC05A5">
        <w:rPr>
          <w:b/>
          <w:bCs/>
          <w:lang w:val="tg-Cyrl-TJ"/>
        </w:rPr>
        <w:t xml:space="preserve">3.3. </w:t>
      </w:r>
      <w:r w:rsidRPr="00BC05A5">
        <w:rPr>
          <w:b/>
          <w:bCs/>
        </w:rPr>
        <w:t>Ключевые игроки банковского рынка для исследования</w:t>
      </w:r>
    </w:p>
    <w:p w14:paraId="23343693" w14:textId="6540FD27" w:rsidR="00BC05A5" w:rsidRPr="00746986" w:rsidRDefault="00BC05A5" w:rsidP="00210CD8">
      <w:pPr>
        <w:pStyle w:val="a7"/>
        <w:numPr>
          <w:ilvl w:val="0"/>
          <w:numId w:val="3"/>
        </w:numPr>
      </w:pPr>
      <w:r w:rsidRPr="003E3E74">
        <w:t xml:space="preserve">Перечень ключевых игроков рынка, подлежащих исследованию в рамках проекта: Душанбе Сити Банк, </w:t>
      </w:r>
      <w:proofErr w:type="spellStart"/>
      <w:r w:rsidRPr="003E3E74">
        <w:t>Алиф</w:t>
      </w:r>
      <w:proofErr w:type="spellEnd"/>
      <w:r w:rsidRPr="003E3E74">
        <w:t xml:space="preserve">, </w:t>
      </w:r>
      <w:proofErr w:type="spellStart"/>
      <w:r w:rsidRPr="003E3E74">
        <w:t>Амонатбанк</w:t>
      </w:r>
      <w:proofErr w:type="spellEnd"/>
      <w:r w:rsidRPr="003E3E74">
        <w:t xml:space="preserve">, </w:t>
      </w:r>
      <w:proofErr w:type="spellStart"/>
      <w:r w:rsidRPr="003E3E74">
        <w:t>Хумо</w:t>
      </w:r>
      <w:proofErr w:type="spellEnd"/>
      <w:r w:rsidRPr="003E3E74">
        <w:t xml:space="preserve">, </w:t>
      </w:r>
      <w:proofErr w:type="spellStart"/>
      <w:r w:rsidRPr="003E3E74">
        <w:t>Спитамен</w:t>
      </w:r>
      <w:proofErr w:type="spellEnd"/>
      <w:r w:rsidRPr="003E3E74">
        <w:t xml:space="preserve"> Банк.</w:t>
      </w:r>
    </w:p>
    <w:p w14:paraId="1D0497E0" w14:textId="3CA76D81" w:rsidR="007D33AC" w:rsidRDefault="00746986" w:rsidP="00746986">
      <w:pPr>
        <w:rPr>
          <w:b/>
          <w:bCs/>
          <w:lang w:val="tg-Cyrl-TJ"/>
        </w:rPr>
      </w:pPr>
      <w:r>
        <w:rPr>
          <w:b/>
          <w:bCs/>
        </w:rPr>
        <w:t>4. Ключевые задачи исследования</w:t>
      </w:r>
    </w:p>
    <w:p w14:paraId="3410B632" w14:textId="6FA2B7E0" w:rsidR="00746986" w:rsidRPr="007D33AC" w:rsidRDefault="00746986" w:rsidP="00746986">
      <w:pPr>
        <w:rPr>
          <w:b/>
          <w:bCs/>
        </w:rPr>
      </w:pPr>
      <w:r>
        <w:rPr>
          <w:b/>
          <w:bCs/>
        </w:rPr>
        <w:t xml:space="preserve">4.1. Анализ знания бренда (Brand </w:t>
      </w:r>
      <w:proofErr w:type="spellStart"/>
      <w:r>
        <w:rPr>
          <w:b/>
          <w:bCs/>
        </w:rPr>
        <w:t>Awareness</w:t>
      </w:r>
      <w:proofErr w:type="spellEnd"/>
      <w:r>
        <w:rPr>
          <w:b/>
          <w:bCs/>
        </w:rPr>
        <w:t xml:space="preserve">) </w:t>
      </w:r>
    </w:p>
    <w:p w14:paraId="770C60E5" w14:textId="788DF3C6" w:rsidR="00746986" w:rsidRPr="007D33AC" w:rsidRDefault="007D33AC" w:rsidP="00746986">
      <w:pPr>
        <w:numPr>
          <w:ilvl w:val="0"/>
          <w:numId w:val="4"/>
        </w:numPr>
      </w:pPr>
      <w:r>
        <w:t xml:space="preserve">Оценить уровень </w:t>
      </w:r>
      <w:r>
        <w:rPr>
          <w:b/>
          <w:bCs/>
        </w:rPr>
        <w:t>спонтанного и подсказанного знания бренда</w:t>
      </w:r>
      <w:r>
        <w:t xml:space="preserve"> среди целевой аудитории</w:t>
      </w:r>
      <w:r w:rsidR="003C4F3F">
        <w:t xml:space="preserve">. </w:t>
      </w:r>
      <w:r>
        <w:rPr>
          <w:lang w:val="tg-Cyrl-TJ"/>
        </w:rPr>
        <w:t xml:space="preserve">Спонтанная узнаваемость </w:t>
      </w:r>
    </w:p>
    <w:p w14:paraId="619F8573" w14:textId="1D427BAA" w:rsidR="007D33AC" w:rsidRPr="007D33AC" w:rsidRDefault="007D33AC" w:rsidP="007D33AC">
      <w:pPr>
        <w:numPr>
          <w:ilvl w:val="0"/>
          <w:numId w:val="4"/>
        </w:numPr>
      </w:pPr>
      <w:r>
        <w:t xml:space="preserve">Определить позицию банка в структуре </w:t>
      </w:r>
      <w:proofErr w:type="spellStart"/>
      <w:r>
        <w:rPr>
          <w:b/>
          <w:bCs/>
        </w:rPr>
        <w:t>top-of-mind</w:t>
      </w:r>
      <w:proofErr w:type="spellEnd"/>
      <w:r>
        <w:rPr>
          <w:b/>
          <w:bCs/>
        </w:rPr>
        <w:t xml:space="preserve"> брендов</w:t>
      </w:r>
      <w:r>
        <w:t xml:space="preserve"> </w:t>
      </w:r>
    </w:p>
    <w:p w14:paraId="3FCF88C9" w14:textId="2107AAB6" w:rsidR="007D33AC" w:rsidRPr="007D33AC" w:rsidRDefault="007D33AC" w:rsidP="007D33AC">
      <w:pPr>
        <w:numPr>
          <w:ilvl w:val="0"/>
          <w:numId w:val="4"/>
        </w:numPr>
      </w:pPr>
      <w:r>
        <w:t xml:space="preserve">Измерить уровень </w:t>
      </w:r>
      <w:r>
        <w:rPr>
          <w:b/>
          <w:bCs/>
        </w:rPr>
        <w:t>узнаваемости бренда</w:t>
      </w:r>
      <w:r>
        <w:t xml:space="preserve"> по различным регионам</w:t>
      </w:r>
      <w:r w:rsidR="003C4F3F">
        <w:rPr>
          <w:lang w:val="uk-UA"/>
        </w:rPr>
        <w:t xml:space="preserve">, </w:t>
      </w:r>
      <w:r w:rsidR="003C4F3F" w:rsidRPr="003C4F3F">
        <w:t>возрасту, полу</w:t>
      </w:r>
      <w:r>
        <w:t xml:space="preserve"> </w:t>
      </w:r>
    </w:p>
    <w:p w14:paraId="17BF521A" w14:textId="1889FE8B" w:rsidR="007D33AC" w:rsidRPr="007D33AC" w:rsidRDefault="007D33AC" w:rsidP="007D33AC">
      <w:pPr>
        <w:numPr>
          <w:ilvl w:val="0"/>
          <w:numId w:val="4"/>
        </w:numPr>
      </w:pPr>
      <w:r>
        <w:t xml:space="preserve">Выявить, какие </w:t>
      </w:r>
      <w:r>
        <w:rPr>
          <w:b/>
          <w:bCs/>
        </w:rPr>
        <w:t>ассоциации формируются с брендом</w:t>
      </w:r>
      <w:r>
        <w:t xml:space="preserve"> </w:t>
      </w:r>
    </w:p>
    <w:p w14:paraId="21BD6313" w14:textId="7100765B" w:rsidR="007D33AC" w:rsidRPr="007D33AC" w:rsidRDefault="007D33AC" w:rsidP="007D33AC">
      <w:pPr>
        <w:numPr>
          <w:ilvl w:val="0"/>
          <w:numId w:val="4"/>
        </w:numPr>
      </w:pPr>
      <w:r>
        <w:t xml:space="preserve">Определить, как бренд воспринимается относительно других финансовых организаций </w:t>
      </w:r>
    </w:p>
    <w:p w14:paraId="798E8925" w14:textId="461FE5E2" w:rsidR="007D33AC" w:rsidRPr="007D33AC" w:rsidRDefault="007D33AC" w:rsidP="007D33AC">
      <w:pPr>
        <w:numPr>
          <w:ilvl w:val="0"/>
          <w:numId w:val="4"/>
        </w:numPr>
      </w:pPr>
      <w:r>
        <w:t xml:space="preserve">Сегментировать аудиторию по уровню знания бренда (знают / не знают / сомневаются) </w:t>
      </w:r>
    </w:p>
    <w:p w14:paraId="3AA66AEC" w14:textId="40B74E0B" w:rsidR="007D33AC" w:rsidRPr="007D33AC" w:rsidRDefault="007D33AC" w:rsidP="007D33AC">
      <w:pPr>
        <w:numPr>
          <w:ilvl w:val="0"/>
          <w:numId w:val="4"/>
        </w:numPr>
      </w:pPr>
      <w:r>
        <w:t>Оценить влияние маркетинговых коммуникаций на узнаваемость</w:t>
      </w:r>
      <w:r w:rsidR="00865383">
        <w:rPr>
          <w:lang w:val="uk-UA"/>
        </w:rPr>
        <w:t xml:space="preserve"> и </w:t>
      </w:r>
      <w:proofErr w:type="spellStart"/>
      <w:r w:rsidR="00865383">
        <w:rPr>
          <w:lang w:val="uk-UA"/>
        </w:rPr>
        <w:t>желание</w:t>
      </w:r>
      <w:proofErr w:type="spellEnd"/>
      <w:r w:rsidR="00865383">
        <w:rPr>
          <w:lang w:val="uk-UA"/>
        </w:rPr>
        <w:t xml:space="preserve"> </w:t>
      </w:r>
      <w:proofErr w:type="spellStart"/>
      <w:r w:rsidR="00865383">
        <w:rPr>
          <w:lang w:val="uk-UA"/>
        </w:rPr>
        <w:t>воспользоваться</w:t>
      </w:r>
      <w:proofErr w:type="spellEnd"/>
      <w:r w:rsidR="00865383">
        <w:rPr>
          <w:lang w:val="uk-UA"/>
        </w:rPr>
        <w:t xml:space="preserve"> (в </w:t>
      </w:r>
      <w:proofErr w:type="spellStart"/>
      <w:r w:rsidR="00865383">
        <w:rPr>
          <w:lang w:val="uk-UA"/>
        </w:rPr>
        <w:t>ближайшие</w:t>
      </w:r>
      <w:proofErr w:type="spellEnd"/>
      <w:r w:rsidR="00865383">
        <w:rPr>
          <w:lang w:val="uk-UA"/>
        </w:rPr>
        <w:t xml:space="preserve"> </w:t>
      </w:r>
      <w:proofErr w:type="spellStart"/>
      <w:r w:rsidR="00865383">
        <w:rPr>
          <w:lang w:val="uk-UA"/>
        </w:rPr>
        <w:t>полгода</w:t>
      </w:r>
      <w:proofErr w:type="spellEnd"/>
      <w:r w:rsidR="00865383">
        <w:rPr>
          <w:lang w:val="uk-UA"/>
        </w:rPr>
        <w:t>)</w:t>
      </w:r>
    </w:p>
    <w:p w14:paraId="0D8BEA11" w14:textId="5E5F241B" w:rsidR="007D33AC" w:rsidRPr="007D33AC" w:rsidRDefault="007D33AC" w:rsidP="007D33AC">
      <w:pPr>
        <w:numPr>
          <w:ilvl w:val="0"/>
          <w:numId w:val="4"/>
        </w:numPr>
      </w:pPr>
      <w:r>
        <w:t>Определить пробелы в знании ключевых продуктов и услуг банка</w:t>
      </w:r>
    </w:p>
    <w:p w14:paraId="17CEDE75" w14:textId="455671E6" w:rsidR="007D33AC" w:rsidRPr="00746986" w:rsidRDefault="007D33AC" w:rsidP="007D33AC">
      <w:pPr>
        <w:numPr>
          <w:ilvl w:val="0"/>
          <w:numId w:val="4"/>
        </w:numPr>
      </w:pPr>
      <w:r>
        <w:t>Дать рекомендации по повышению узнаваемости и усилению бренда на рынке</w:t>
      </w:r>
    </w:p>
    <w:p w14:paraId="36171403" w14:textId="1BE129C0" w:rsidR="007D33AC" w:rsidRPr="007D33AC" w:rsidRDefault="007D33AC" w:rsidP="007D33AC">
      <w:pPr>
        <w:rPr>
          <w:b/>
          <w:bCs/>
        </w:rPr>
      </w:pPr>
      <w:r>
        <w:rPr>
          <w:b/>
          <w:bCs/>
          <w:lang w:val="tg-Cyrl-TJ"/>
        </w:rPr>
        <w:t xml:space="preserve">4.2 </w:t>
      </w:r>
      <w:r>
        <w:rPr>
          <w:b/>
          <w:bCs/>
        </w:rPr>
        <w:t>Ключевые задачи NPS-исследования</w:t>
      </w:r>
    </w:p>
    <w:p w14:paraId="7A2FE3D9" w14:textId="3A86CCAB" w:rsidR="007D33AC" w:rsidRPr="007D33AC" w:rsidRDefault="007D33AC" w:rsidP="007D33AC">
      <w:pPr>
        <w:numPr>
          <w:ilvl w:val="0"/>
          <w:numId w:val="6"/>
        </w:numPr>
      </w:pPr>
      <w:r>
        <w:t>Определить долю промоутеров, нейтралов и критиков</w:t>
      </w:r>
    </w:p>
    <w:p w14:paraId="5D1A615F" w14:textId="00DA3C9E" w:rsidR="007D33AC" w:rsidRPr="007D33AC" w:rsidRDefault="007D33AC" w:rsidP="007D33AC">
      <w:pPr>
        <w:numPr>
          <w:ilvl w:val="0"/>
          <w:numId w:val="6"/>
        </w:numPr>
      </w:pPr>
      <w:r>
        <w:t>Измерить текущий уровень клиентской лояльности (NPS)</w:t>
      </w:r>
    </w:p>
    <w:p w14:paraId="00B94F39" w14:textId="285CF8C2" w:rsidR="007D33AC" w:rsidRPr="007D33AC" w:rsidRDefault="007D33AC" w:rsidP="007D33AC">
      <w:pPr>
        <w:numPr>
          <w:ilvl w:val="0"/>
          <w:numId w:val="6"/>
        </w:numPr>
      </w:pPr>
      <w:r>
        <w:lastRenderedPageBreak/>
        <w:t>Выявить ключевые драйверы удовлетворенности и неудовлетворенности клиентов</w:t>
      </w:r>
    </w:p>
    <w:p w14:paraId="2CA6C695" w14:textId="2102EA4E" w:rsidR="007D33AC" w:rsidRPr="007D33AC" w:rsidRDefault="007D33AC" w:rsidP="007D33AC">
      <w:pPr>
        <w:numPr>
          <w:ilvl w:val="0"/>
          <w:numId w:val="6"/>
        </w:numPr>
      </w:pPr>
      <w:r>
        <w:t>Определить основные причины готовности/неготовности рекомендовать банк</w:t>
      </w:r>
    </w:p>
    <w:p w14:paraId="06F68431" w14:textId="3ADCFAEF" w:rsidR="007D33AC" w:rsidRPr="007D33AC" w:rsidRDefault="007D33AC" w:rsidP="007D33AC">
      <w:pPr>
        <w:numPr>
          <w:ilvl w:val="0"/>
          <w:numId w:val="6"/>
        </w:numPr>
      </w:pPr>
      <w:r>
        <w:t>Определить приоритетные направления для повышения NPS</w:t>
      </w:r>
    </w:p>
    <w:p w14:paraId="59C12674" w14:textId="3A2A5531" w:rsidR="007D33AC" w:rsidRDefault="007D33AC" w:rsidP="00286242">
      <w:pPr>
        <w:numPr>
          <w:ilvl w:val="0"/>
          <w:numId w:val="6"/>
        </w:numPr>
      </w:pPr>
      <w:r>
        <w:t>Сформировать рекомендации по улучшению клиентского опыта</w:t>
      </w:r>
      <w:r>
        <w:br/>
      </w:r>
    </w:p>
    <w:p w14:paraId="16A588F1" w14:textId="275F0426" w:rsidR="007D33AC" w:rsidRDefault="007D33AC" w:rsidP="007D33AC">
      <w:pPr>
        <w:rPr>
          <w:b/>
          <w:bCs/>
          <w:lang w:val="tg-Cyrl-TJ"/>
        </w:rPr>
      </w:pPr>
      <w:r>
        <w:rPr>
          <w:b/>
          <w:bCs/>
        </w:rPr>
        <w:t>5. Методология исследования</w:t>
      </w:r>
    </w:p>
    <w:p w14:paraId="58C60E50" w14:textId="60B4C5DF" w:rsidR="007D33AC" w:rsidRPr="007D33AC" w:rsidRDefault="007D33AC" w:rsidP="007D33AC">
      <w:pPr>
        <w:rPr>
          <w:b/>
          <w:bCs/>
        </w:rPr>
      </w:pPr>
      <w:r>
        <w:rPr>
          <w:b/>
          <w:bCs/>
          <w:lang w:val="tg-Cyrl-TJ"/>
        </w:rPr>
        <w:t>5</w:t>
      </w:r>
      <w:r>
        <w:rPr>
          <w:b/>
          <w:bCs/>
        </w:rPr>
        <w:t>.1. Тип исследования</w:t>
      </w:r>
    </w:p>
    <w:p w14:paraId="1910888A" w14:textId="776EE2C7" w:rsidR="007D33AC" w:rsidRPr="007D33AC" w:rsidRDefault="007D33AC" w:rsidP="007D33AC">
      <w:pPr>
        <w:rPr>
          <w:b/>
          <w:bCs/>
        </w:rPr>
      </w:pPr>
      <w:r>
        <w:t xml:space="preserve">Количественное исследование (основное) </w:t>
      </w:r>
      <w:r>
        <w:rPr>
          <w:b/>
          <w:bCs/>
          <w:lang w:val="tg-Cyrl-TJ"/>
        </w:rPr>
        <w:br/>
      </w:r>
      <w:r>
        <w:rPr>
          <w:b/>
          <w:bCs/>
          <w:lang w:val="tg-Cyrl-TJ"/>
        </w:rPr>
        <w:br/>
        <w:t>5</w:t>
      </w:r>
      <w:r>
        <w:rPr>
          <w:b/>
          <w:bCs/>
        </w:rPr>
        <w:t>.2. Метод сбора данных</w:t>
      </w:r>
    </w:p>
    <w:p w14:paraId="2FA0B52E" w14:textId="0F1E4F40" w:rsidR="00EF6938" w:rsidRPr="00EF6938" w:rsidRDefault="00EF6938" w:rsidP="00EF6938">
      <w:pPr>
        <w:numPr>
          <w:ilvl w:val="0"/>
          <w:numId w:val="11"/>
        </w:numPr>
      </w:pPr>
      <w:r>
        <w:t xml:space="preserve">CAWI (онлайн) для </w:t>
      </w:r>
      <w:proofErr w:type="gramStart"/>
      <w:r>
        <w:t>18-25</w:t>
      </w:r>
      <w:proofErr w:type="gramEnd"/>
      <w:r>
        <w:rPr>
          <w:lang w:val="en-US"/>
        </w:rPr>
        <w:t xml:space="preserve"> </w:t>
      </w:r>
      <w:r>
        <w:rPr>
          <w:lang w:val="tg-Cyrl-TJ"/>
        </w:rPr>
        <w:t>лет</w:t>
      </w:r>
    </w:p>
    <w:p w14:paraId="75E567E7" w14:textId="06EF96DF" w:rsidR="00471B3C" w:rsidRPr="00EF6938" w:rsidRDefault="007D33AC" w:rsidP="007D33AC">
      <w:pPr>
        <w:numPr>
          <w:ilvl w:val="0"/>
          <w:numId w:val="11"/>
        </w:numPr>
        <w:rPr>
          <w:lang w:val="en-US"/>
        </w:rPr>
      </w:pPr>
      <w:r>
        <w:t>личные</w:t>
      </w:r>
      <w:r>
        <w:rPr>
          <w:lang w:val="en-US"/>
        </w:rPr>
        <w:t xml:space="preserve"> </w:t>
      </w:r>
      <w:r>
        <w:t>интервью</w:t>
      </w:r>
      <w:r>
        <w:rPr>
          <w:lang w:val="en-US"/>
        </w:rPr>
        <w:t xml:space="preserve"> F2F</w:t>
      </w:r>
      <w:r>
        <w:rPr>
          <w:lang w:val="tg-Cyrl-TJ"/>
        </w:rPr>
        <w:t xml:space="preserve"> для 26 - </w:t>
      </w:r>
      <w:proofErr w:type="gramStart"/>
      <w:r>
        <w:rPr>
          <w:lang w:val="tg-Cyrl-TJ"/>
        </w:rPr>
        <w:t xml:space="preserve">55 </w:t>
      </w:r>
      <w:r>
        <w:rPr>
          <w:lang w:val="en-US"/>
        </w:rPr>
        <w:t xml:space="preserve"> (</w:t>
      </w:r>
      <w:proofErr w:type="gramEnd"/>
      <w:r>
        <w:rPr>
          <w:lang w:val="en-US"/>
        </w:rPr>
        <w:t xml:space="preserve">face-to-face) </w:t>
      </w:r>
    </w:p>
    <w:p w14:paraId="482F3343" w14:textId="77777777" w:rsidR="007D33AC" w:rsidRPr="007D33AC" w:rsidRDefault="007D33AC" w:rsidP="007D33AC">
      <w:pPr>
        <w:numPr>
          <w:ilvl w:val="0"/>
          <w:numId w:val="11"/>
        </w:numPr>
      </w:pPr>
      <w:r>
        <w:t xml:space="preserve">структурированная анкета </w:t>
      </w:r>
    </w:p>
    <w:p w14:paraId="43D2655C" w14:textId="11EC821E" w:rsidR="007D33AC" w:rsidRPr="007D33AC" w:rsidRDefault="007D33AC" w:rsidP="007D33AC">
      <w:pPr>
        <w:rPr>
          <w:b/>
          <w:bCs/>
        </w:rPr>
      </w:pPr>
      <w:r>
        <w:rPr>
          <w:b/>
          <w:bCs/>
          <w:lang w:val="tg-Cyrl-TJ"/>
        </w:rPr>
        <w:t>5</w:t>
      </w:r>
      <w:r>
        <w:rPr>
          <w:b/>
          <w:bCs/>
        </w:rPr>
        <w:t>.3. Разработка инструментария</w:t>
      </w:r>
    </w:p>
    <w:p w14:paraId="08A67F58" w14:textId="77777777" w:rsidR="00EF6938" w:rsidRDefault="00EF6938" w:rsidP="00EF6938">
      <w:r>
        <w:t>В рамках подготовки исследования необходимо:</w:t>
      </w:r>
    </w:p>
    <w:p w14:paraId="411067F8" w14:textId="77777777" w:rsidR="00EF6938" w:rsidRDefault="00EF6938" w:rsidP="00EF6938">
      <w:r>
        <w:t>Установить максимальную длительность интервью — 20–25 минут, с учётом особенностей восприятия респондентов старших возрастных групп и обеспечения качества ответов без перегрузки.</w:t>
      </w:r>
    </w:p>
    <w:p w14:paraId="2D716259" w14:textId="77777777" w:rsidR="00EF6938" w:rsidRDefault="00EF6938" w:rsidP="00EF6938">
      <w:r>
        <w:t xml:space="preserve">Разработать анкету с чёткой логической структурой по блокам (в соответствии с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подходами маркетинговых исследований, аналогично методологии </w:t>
      </w:r>
      <w:proofErr w:type="spellStart"/>
      <w:r>
        <w:t>Gemius</w:t>
      </w:r>
      <w:proofErr w:type="spellEnd"/>
      <w:r>
        <w:t>), включая:</w:t>
      </w:r>
    </w:p>
    <w:p w14:paraId="71D6AE38" w14:textId="77777777" w:rsidR="00EF6938" w:rsidRDefault="00EF6938" w:rsidP="00EF6938">
      <w:r>
        <w:t>скрининг респондента (отбор по целевой аудитории)</w:t>
      </w:r>
    </w:p>
    <w:p w14:paraId="53E69BE5" w14:textId="77777777" w:rsidR="00EF6938" w:rsidRPr="00EF6938" w:rsidRDefault="00EF6938" w:rsidP="00EF6938">
      <w:pPr>
        <w:rPr>
          <w:lang w:val="en-US"/>
        </w:rPr>
      </w:pPr>
      <w:r>
        <w:t>спонтанную</w:t>
      </w:r>
      <w:r>
        <w:rPr>
          <w:lang w:val="en-US"/>
        </w:rPr>
        <w:t xml:space="preserve"> </w:t>
      </w:r>
      <w:r>
        <w:t>узнаваемость</w:t>
      </w:r>
      <w:r>
        <w:rPr>
          <w:lang w:val="en-US"/>
        </w:rPr>
        <w:t xml:space="preserve"> </w:t>
      </w:r>
      <w:r>
        <w:t>брендов</w:t>
      </w:r>
      <w:r>
        <w:rPr>
          <w:lang w:val="en-US"/>
        </w:rPr>
        <w:t xml:space="preserve"> (Spontaneous Awareness, Top of Mind)</w:t>
      </w:r>
    </w:p>
    <w:p w14:paraId="50F77C47" w14:textId="77777777" w:rsidR="00EF6938" w:rsidRDefault="00EF6938" w:rsidP="00EF6938">
      <w:r>
        <w:t>подсказанную узнаваемость (</w:t>
      </w:r>
      <w:proofErr w:type="spellStart"/>
      <w:r>
        <w:t>Prompted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>)</w:t>
      </w:r>
    </w:p>
    <w:p w14:paraId="416792B3" w14:textId="77777777" w:rsidR="00EF6938" w:rsidRDefault="00EF6938" w:rsidP="00EF6938">
      <w:r>
        <w:t>использование банковских услуг (</w:t>
      </w:r>
      <w:proofErr w:type="spellStart"/>
      <w:r>
        <w:t>Usage</w:t>
      </w:r>
      <w:proofErr w:type="spellEnd"/>
      <w:r>
        <w:t xml:space="preserve"> за последние 6 месяцев)</w:t>
      </w:r>
    </w:p>
    <w:p w14:paraId="3D73ADE0" w14:textId="77777777" w:rsidR="00EF6938" w:rsidRDefault="00EF6938" w:rsidP="00EF6938">
      <w:r>
        <w:t>рассмотрение банков при выборе (</w:t>
      </w:r>
      <w:proofErr w:type="spellStart"/>
      <w:r>
        <w:t>Consideration</w:t>
      </w:r>
      <w:proofErr w:type="spellEnd"/>
      <w:r>
        <w:t>)</w:t>
      </w:r>
    </w:p>
    <w:p w14:paraId="19E243D8" w14:textId="77777777" w:rsidR="00EF6938" w:rsidRDefault="00EF6938" w:rsidP="00EF6938">
      <w:r>
        <w:t xml:space="preserve">восприятие бренда и имиджевые характеристики (Brand </w:t>
      </w:r>
      <w:proofErr w:type="spellStart"/>
      <w:r>
        <w:t>Perception</w:t>
      </w:r>
      <w:proofErr w:type="spellEnd"/>
      <w:r>
        <w:t>)</w:t>
      </w:r>
    </w:p>
    <w:p w14:paraId="1851644D" w14:textId="77777777" w:rsidR="00EF6938" w:rsidRDefault="00EF6938" w:rsidP="00EF6938">
      <w:r>
        <w:t>факторы выбора банка и ключевые драйверы</w:t>
      </w:r>
    </w:p>
    <w:p w14:paraId="0581A59C" w14:textId="77777777" w:rsidR="00EF6938" w:rsidRDefault="00EF6938" w:rsidP="00EF6938">
      <w:r>
        <w:t>оценку конкурентного окружения (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set</w:t>
      </w:r>
      <w:proofErr w:type="spellEnd"/>
      <w:r>
        <w:t>)</w:t>
      </w:r>
    </w:p>
    <w:p w14:paraId="59BAF7A9" w14:textId="77777777" w:rsidR="00EF6938" w:rsidRDefault="00EF6938" w:rsidP="00EF6938">
      <w:r>
        <w:t>индекс лояльности (NPS)</w:t>
      </w:r>
    </w:p>
    <w:p w14:paraId="74BBEBC1" w14:textId="77777777" w:rsidR="00EF6938" w:rsidRDefault="00EF6938" w:rsidP="00EF6938">
      <w:r>
        <w:t>социально-демографический блок</w:t>
      </w:r>
    </w:p>
    <w:p w14:paraId="3FC13E2C" w14:textId="77777777" w:rsidR="00EF6938" w:rsidRDefault="00EF6938" w:rsidP="00EF6938">
      <w:r>
        <w:lastRenderedPageBreak/>
        <w:t>Обеспечить обязательное предоставление предварительного драфта анкеты до начала полевых работ для согласования с заказчиком, включая возможность внесения корректировок по логике, формулировкам вопросов и структуре блоков.</w:t>
      </w:r>
    </w:p>
    <w:p w14:paraId="50B89D5B" w14:textId="77777777" w:rsidR="00EF6938" w:rsidRDefault="00EF6938" w:rsidP="00EF6938"/>
    <w:p w14:paraId="1B3E9194" w14:textId="737AFFEA" w:rsidR="007D33AC" w:rsidRPr="007D33AC" w:rsidRDefault="007D33AC" w:rsidP="00EF6938">
      <w:pPr>
        <w:rPr>
          <w:b/>
          <w:bCs/>
        </w:rPr>
      </w:pPr>
      <w:r>
        <w:rPr>
          <w:b/>
          <w:bCs/>
          <w:lang w:val="tg-Cyrl-TJ"/>
        </w:rPr>
        <w:t xml:space="preserve">5.4. </w:t>
      </w:r>
      <w:r>
        <w:rPr>
          <w:b/>
          <w:bCs/>
        </w:rPr>
        <w:t>Подход</w:t>
      </w:r>
    </w:p>
    <w:p w14:paraId="6A209D80" w14:textId="77777777" w:rsidR="007D33AC" w:rsidRPr="007D33AC" w:rsidRDefault="007D33AC" w:rsidP="007D33AC">
      <w:pPr>
        <w:numPr>
          <w:ilvl w:val="0"/>
          <w:numId w:val="25"/>
        </w:numPr>
      </w:pPr>
      <w:r>
        <w:t>реляционный NPS (общее восприятие банка)</w:t>
      </w:r>
    </w:p>
    <w:p w14:paraId="411FE6E8" w14:textId="5DF36C38" w:rsidR="007D33AC" w:rsidRDefault="007D33AC" w:rsidP="007D33AC">
      <w:pPr>
        <w:rPr>
          <w:b/>
          <w:bCs/>
          <w:lang w:val="tg-Cyrl-TJ"/>
        </w:rPr>
      </w:pPr>
      <w:r>
        <w:rPr>
          <w:b/>
          <w:bCs/>
          <w:lang w:val="tg-Cyrl-TJ"/>
        </w:rPr>
        <w:t>6</w:t>
      </w:r>
      <w:r>
        <w:rPr>
          <w:b/>
          <w:bCs/>
        </w:rPr>
        <w:t>. Выборка</w:t>
      </w:r>
    </w:p>
    <w:p w14:paraId="5FC80726" w14:textId="11EB9F0A" w:rsidR="007D33AC" w:rsidRPr="007D33AC" w:rsidRDefault="007D33AC" w:rsidP="007D33AC">
      <w:pPr>
        <w:rPr>
          <w:b/>
          <w:bCs/>
        </w:rPr>
      </w:pPr>
      <w:r>
        <w:rPr>
          <w:b/>
          <w:bCs/>
          <w:lang w:val="tg-Cyrl-TJ"/>
        </w:rPr>
        <w:t>6.</w:t>
      </w:r>
      <w:r>
        <w:rPr>
          <w:b/>
          <w:bCs/>
        </w:rPr>
        <w:t>1. Целевая аудитория</w:t>
      </w:r>
    </w:p>
    <w:p w14:paraId="17C71646" w14:textId="3E2CD5D1" w:rsidR="007D33AC" w:rsidRPr="007D33AC" w:rsidRDefault="007D33AC" w:rsidP="007D33AC">
      <w:pPr>
        <w:numPr>
          <w:ilvl w:val="0"/>
          <w:numId w:val="13"/>
        </w:numPr>
      </w:pPr>
      <w:r>
        <w:t xml:space="preserve">возраст: 18–55 лет </w:t>
      </w:r>
    </w:p>
    <w:p w14:paraId="4BAE2A42" w14:textId="77777777" w:rsidR="007D33AC" w:rsidRPr="007D33AC" w:rsidRDefault="007D33AC" w:rsidP="007D33AC">
      <w:pPr>
        <w:numPr>
          <w:ilvl w:val="0"/>
          <w:numId w:val="13"/>
        </w:numPr>
      </w:pPr>
      <w:r>
        <w:t>пользователи банковских услуг</w:t>
      </w:r>
    </w:p>
    <w:p w14:paraId="43FE7EA7" w14:textId="0267FF63" w:rsidR="007D33AC" w:rsidRPr="007D33AC" w:rsidRDefault="007D33AC">
      <w:pPr>
        <w:rPr>
          <w:b/>
          <w:bCs/>
          <w:lang w:val="tg-Cyrl-TJ"/>
        </w:rPr>
      </w:pPr>
      <w:r>
        <w:rPr>
          <w:b/>
          <w:bCs/>
          <w:lang w:val="tg-Cyrl-TJ"/>
        </w:rPr>
        <w:t>6.2</w:t>
      </w:r>
      <w:r>
        <w:rPr>
          <w:b/>
          <w:bCs/>
        </w:rPr>
        <w:t>. Размер выборки</w:t>
      </w:r>
      <w:r>
        <w:rPr>
          <w:b/>
          <w:bCs/>
          <w:lang w:val="tg-Cyrl-TJ"/>
        </w:rPr>
        <w:t xml:space="preserve"> и структура </w:t>
      </w:r>
    </w:p>
    <w:p w14:paraId="2ED7A470" w14:textId="23050D31" w:rsidR="007D33AC" w:rsidRPr="007D33AC" w:rsidRDefault="00137DF3" w:rsidP="007D33AC">
      <w:pPr>
        <w:pStyle w:val="a7"/>
        <w:numPr>
          <w:ilvl w:val="0"/>
          <w:numId w:val="14"/>
        </w:numPr>
      </w:pPr>
      <w:r>
        <w:t>1000</w:t>
      </w:r>
      <w:r w:rsidR="007D33AC">
        <w:t xml:space="preserve"> респондентов (500 клиенты </w:t>
      </w:r>
      <w:proofErr w:type="spellStart"/>
      <w:r w:rsidR="007D33AC">
        <w:t>Эсхата</w:t>
      </w:r>
      <w:proofErr w:type="spellEnd"/>
      <w:r w:rsidR="007D33AC">
        <w:t xml:space="preserve"> + </w:t>
      </w:r>
      <w:r>
        <w:t>500</w:t>
      </w:r>
      <w:r w:rsidR="007D33AC">
        <w:t xml:space="preserve"> клиенты других банков)</w:t>
      </w:r>
    </w:p>
    <w:p w14:paraId="7BBF7F2E" w14:textId="259A9FCB" w:rsidR="007D33AC" w:rsidRPr="007D33AC" w:rsidRDefault="007D33AC" w:rsidP="007D33AC">
      <w:pPr>
        <w:pStyle w:val="a7"/>
        <w:numPr>
          <w:ilvl w:val="0"/>
          <w:numId w:val="14"/>
        </w:numPr>
      </w:pPr>
      <w:r>
        <w:t xml:space="preserve">50% мужчины / 50% женщины </w:t>
      </w:r>
    </w:p>
    <w:p w14:paraId="7C7F12ED" w14:textId="6FB33287" w:rsidR="007D33AC" w:rsidRPr="007D33AC" w:rsidRDefault="007D33AC" w:rsidP="007D33AC">
      <w:pPr>
        <w:pStyle w:val="a7"/>
        <w:numPr>
          <w:ilvl w:val="0"/>
          <w:numId w:val="14"/>
        </w:numPr>
      </w:pPr>
      <w:r>
        <w:t xml:space="preserve"> распределение по возрасту: </w:t>
      </w:r>
    </w:p>
    <w:p w14:paraId="3205FAD2" w14:textId="77777777" w:rsidR="007D33AC" w:rsidRPr="007D33AC" w:rsidRDefault="007D33AC" w:rsidP="007D33AC">
      <w:pPr>
        <w:pStyle w:val="a7"/>
      </w:pPr>
      <w:r>
        <w:t xml:space="preserve">18–25 </w:t>
      </w:r>
    </w:p>
    <w:p w14:paraId="2A741359" w14:textId="77777777" w:rsidR="007D33AC" w:rsidRPr="007D33AC" w:rsidRDefault="007D33AC" w:rsidP="007D33AC">
      <w:pPr>
        <w:pStyle w:val="a7"/>
      </w:pPr>
      <w:r>
        <w:t xml:space="preserve">26–35 </w:t>
      </w:r>
    </w:p>
    <w:p w14:paraId="4216F4A1" w14:textId="77777777" w:rsidR="007D33AC" w:rsidRPr="007D33AC" w:rsidRDefault="007D33AC" w:rsidP="007D33AC">
      <w:pPr>
        <w:pStyle w:val="a7"/>
      </w:pPr>
      <w:r>
        <w:t xml:space="preserve">36–45 </w:t>
      </w:r>
    </w:p>
    <w:p w14:paraId="7A000001" w14:textId="77777777" w:rsidR="007D33AC" w:rsidRDefault="007D33AC" w:rsidP="007D33AC">
      <w:pPr>
        <w:pStyle w:val="a7"/>
      </w:pPr>
      <w:r>
        <w:t>46–55</w:t>
      </w:r>
    </w:p>
    <w:p w14:paraId="7345606B" w14:textId="1E4088FD" w:rsidR="007D33AC" w:rsidRDefault="007D33AC" w:rsidP="007D33AC">
      <w:pPr>
        <w:rPr>
          <w:b/>
          <w:bCs/>
        </w:rPr>
      </w:pPr>
      <w:r>
        <w:rPr>
          <w:b/>
          <w:bCs/>
          <w:lang w:val="tg-Cyrl-TJ"/>
        </w:rPr>
        <w:t>7</w:t>
      </w:r>
      <w:r>
        <w:rPr>
          <w:b/>
          <w:bCs/>
        </w:rPr>
        <w:t>. Требования к проведению полевых работ</w:t>
      </w:r>
    </w:p>
    <w:p w14:paraId="3F5ADE19" w14:textId="3694C3AA" w:rsidR="00C465F6" w:rsidRPr="00C465F6" w:rsidRDefault="00C465F6" w:rsidP="00C465F6">
      <w:pPr>
        <w:rPr>
          <w:b/>
          <w:bCs/>
        </w:rPr>
      </w:pPr>
      <w:r>
        <w:rPr>
          <w:b/>
          <w:bCs/>
        </w:rPr>
        <w:t xml:space="preserve"> 7.1. Сроки проведения полевых работ</w:t>
      </w:r>
    </w:p>
    <w:p w14:paraId="5DFA0A69" w14:textId="77777777" w:rsidR="00C465F6" w:rsidRPr="00C465F6" w:rsidRDefault="00C465F6" w:rsidP="00C465F6">
      <w:r>
        <w:t>Полевой этап исследования должен быть чётко регламентирован и включать следующие параметры:</w:t>
      </w:r>
    </w:p>
    <w:p w14:paraId="10547773" w14:textId="77777777" w:rsidR="00C465F6" w:rsidRPr="00C465F6" w:rsidRDefault="00C465F6" w:rsidP="00FA7688">
      <w:pPr>
        <w:pStyle w:val="a7"/>
        <w:numPr>
          <w:ilvl w:val="0"/>
          <w:numId w:val="27"/>
        </w:numPr>
      </w:pPr>
      <w:r>
        <w:t>Дата начала полевых работ: определяется и согласовывается с Заказчиком до старта проекта, после утверждения финальной анкеты и выборки.</w:t>
      </w:r>
    </w:p>
    <w:p w14:paraId="137723BD" w14:textId="77777777" w:rsidR="00C465F6" w:rsidRPr="00C465F6" w:rsidRDefault="00C465F6" w:rsidP="00FA7688">
      <w:pPr>
        <w:pStyle w:val="a7"/>
        <w:numPr>
          <w:ilvl w:val="0"/>
          <w:numId w:val="27"/>
        </w:numPr>
      </w:pPr>
      <w:r>
        <w:t>Длительность полевого этапа: ориентировочно 2–3 недели, в зависимости от скорости набора респондентов и выполнения квот.</w:t>
      </w:r>
    </w:p>
    <w:p w14:paraId="5CA2BC89" w14:textId="77777777" w:rsidR="00C465F6" w:rsidRPr="00C465F6" w:rsidRDefault="00C465F6" w:rsidP="00FA7688">
      <w:pPr>
        <w:pStyle w:val="a7"/>
        <w:numPr>
          <w:ilvl w:val="0"/>
          <w:numId w:val="27"/>
        </w:numPr>
      </w:pPr>
      <w:r>
        <w:t>Промежуточная отчётность: Исполнитель предоставляет Заказчику промежуточный статус-отчёт о ходе полевых работ (включая прогресс по выборке, выполнение квот и возможные отклонения) не реже 1 раза в неделю.</w:t>
      </w:r>
    </w:p>
    <w:p w14:paraId="13CA1B15" w14:textId="30AE0A36" w:rsidR="00C465F6" w:rsidRPr="00FA7688" w:rsidRDefault="00C465F6" w:rsidP="00FA7688">
      <w:pPr>
        <w:pStyle w:val="a7"/>
        <w:numPr>
          <w:ilvl w:val="0"/>
          <w:numId w:val="27"/>
        </w:numPr>
        <w:rPr>
          <w:lang w:val="tg-Cyrl-TJ"/>
        </w:rPr>
      </w:pPr>
      <w:r>
        <w:t>Дата завершения полевых работ: не позднее установленного дедлайна проекта — 1-й опрос до 6 ию</w:t>
      </w:r>
      <w:r w:rsidR="00137DF3">
        <w:t>ля</w:t>
      </w:r>
      <w:r>
        <w:t>, при условии полного выполнения выборки и соблюдения качественных квот.</w:t>
      </w:r>
    </w:p>
    <w:p w14:paraId="3BFDBAC8" w14:textId="6DE37944" w:rsidR="007D33AC" w:rsidRPr="007D33AC" w:rsidRDefault="007D33AC" w:rsidP="007D33AC">
      <w:pPr>
        <w:rPr>
          <w:b/>
          <w:bCs/>
        </w:rPr>
      </w:pPr>
      <w:r>
        <w:rPr>
          <w:b/>
          <w:bCs/>
          <w:lang w:val="tg-Cyrl-TJ"/>
        </w:rPr>
        <w:t>7</w:t>
      </w:r>
      <w:r>
        <w:rPr>
          <w:b/>
          <w:bCs/>
        </w:rPr>
        <w:t>.2. Контроль качества</w:t>
      </w:r>
    </w:p>
    <w:p w14:paraId="0FF36FD0" w14:textId="77777777" w:rsidR="007D33AC" w:rsidRPr="007D33AC" w:rsidRDefault="007D33AC" w:rsidP="007D33AC">
      <w:r>
        <w:t>Обязательные уровни контроля:</w:t>
      </w:r>
    </w:p>
    <w:p w14:paraId="09153A49" w14:textId="77777777" w:rsidR="007D33AC" w:rsidRPr="007D33AC" w:rsidRDefault="007D33AC" w:rsidP="007D33AC">
      <w:pPr>
        <w:numPr>
          <w:ilvl w:val="0"/>
          <w:numId w:val="15"/>
        </w:numPr>
      </w:pPr>
      <w:r>
        <w:t xml:space="preserve">проверка анкет супервайзерами </w:t>
      </w:r>
    </w:p>
    <w:p w14:paraId="0E69AD15" w14:textId="17F87B46" w:rsidR="007D33AC" w:rsidRDefault="007D33AC" w:rsidP="007D33AC">
      <w:pPr>
        <w:numPr>
          <w:ilvl w:val="0"/>
          <w:numId w:val="15"/>
        </w:numPr>
      </w:pPr>
      <w:r>
        <w:lastRenderedPageBreak/>
        <w:t>телефонная верификация 15–20%</w:t>
      </w:r>
    </w:p>
    <w:p w14:paraId="708C1774" w14:textId="0FD23D38" w:rsidR="00FA7688" w:rsidRPr="007D33AC" w:rsidRDefault="00FA7688" w:rsidP="00FA7688">
      <w:pPr>
        <w:numPr>
          <w:ilvl w:val="0"/>
          <w:numId w:val="15"/>
        </w:numPr>
      </w:pPr>
      <w:r>
        <w:t xml:space="preserve">аудиозапись минимум </w:t>
      </w:r>
      <w:r w:rsidR="004A5E2B">
        <w:t>50</w:t>
      </w:r>
      <w:r>
        <w:t>% интервью.</w:t>
      </w:r>
    </w:p>
    <w:p w14:paraId="7D526966" w14:textId="77777777" w:rsidR="007D33AC" w:rsidRPr="007D33AC" w:rsidRDefault="007D33AC" w:rsidP="007D33AC">
      <w:pPr>
        <w:numPr>
          <w:ilvl w:val="0"/>
          <w:numId w:val="15"/>
        </w:numPr>
        <w:rPr>
          <w:b/>
          <w:bCs/>
        </w:rPr>
      </w:pPr>
      <w:r>
        <w:t>контроль логики ответов</w:t>
      </w:r>
    </w:p>
    <w:p w14:paraId="62E740DF" w14:textId="61C23194" w:rsidR="007D33AC" w:rsidRPr="007D33AC" w:rsidRDefault="007D33AC" w:rsidP="007D33AC">
      <w:pPr>
        <w:rPr>
          <w:b/>
          <w:bCs/>
        </w:rPr>
      </w:pPr>
      <w:r>
        <w:rPr>
          <w:b/>
          <w:bCs/>
          <w:lang w:val="tg-Cyrl-TJ"/>
        </w:rPr>
        <w:t>7</w:t>
      </w:r>
      <w:r>
        <w:rPr>
          <w:b/>
          <w:bCs/>
        </w:rPr>
        <w:t>.3. Языки</w:t>
      </w:r>
    </w:p>
    <w:p w14:paraId="5CB09FF9" w14:textId="77777777" w:rsidR="007D33AC" w:rsidRPr="007D33AC" w:rsidRDefault="007D33AC" w:rsidP="007D33AC">
      <w:pPr>
        <w:numPr>
          <w:ilvl w:val="0"/>
          <w:numId w:val="16"/>
        </w:numPr>
      </w:pPr>
      <w:r>
        <w:t xml:space="preserve">таджикский </w:t>
      </w:r>
    </w:p>
    <w:p w14:paraId="7EF6020C" w14:textId="77777777" w:rsidR="007D33AC" w:rsidRPr="007D33AC" w:rsidRDefault="007D33AC" w:rsidP="007D33AC">
      <w:pPr>
        <w:numPr>
          <w:ilvl w:val="0"/>
          <w:numId w:val="16"/>
        </w:numPr>
      </w:pPr>
      <w:r>
        <w:t xml:space="preserve">русский </w:t>
      </w:r>
    </w:p>
    <w:p w14:paraId="61DB4445" w14:textId="40394C8A" w:rsidR="007D33AC" w:rsidRDefault="007D33AC" w:rsidP="007D33AC">
      <w:pPr>
        <w:numPr>
          <w:ilvl w:val="0"/>
          <w:numId w:val="16"/>
        </w:numPr>
      </w:pPr>
    </w:p>
    <w:p w14:paraId="2D6851E7" w14:textId="4F87C9CA" w:rsidR="007D33AC" w:rsidRPr="007D33AC" w:rsidRDefault="00FA7688" w:rsidP="007D33AC">
      <w:pPr>
        <w:rPr>
          <w:b/>
          <w:bCs/>
        </w:rPr>
      </w:pPr>
      <w:r>
        <w:rPr>
          <w:b/>
          <w:bCs/>
        </w:rPr>
        <w:t>8. Отчётность и результаты исследования (</w:t>
      </w:r>
      <w:proofErr w:type="spellStart"/>
      <w:r>
        <w:rPr>
          <w:b/>
          <w:bCs/>
        </w:rPr>
        <w:t>deliverables</w:t>
      </w:r>
      <w:proofErr w:type="spellEnd"/>
      <w:r>
        <w:rPr>
          <w:b/>
          <w:bCs/>
        </w:rPr>
        <w:t>)</w:t>
      </w:r>
      <w:r>
        <w:rPr>
          <w:b/>
          <w:bCs/>
          <w:lang w:val="tg-Cyrl-TJ"/>
        </w:rPr>
        <w:t xml:space="preserve"> </w:t>
      </w:r>
      <w:r>
        <w:rPr>
          <w:b/>
          <w:bCs/>
          <w:lang w:val="tg-Cyrl-TJ"/>
        </w:rPr>
        <w:br/>
        <w:t>8</w:t>
      </w:r>
      <w:r>
        <w:rPr>
          <w:b/>
          <w:bCs/>
        </w:rPr>
        <w:t>.1. Итоговые материалы</w:t>
      </w:r>
    </w:p>
    <w:p w14:paraId="2A5C8657" w14:textId="77777777" w:rsidR="00FA7688" w:rsidRDefault="00FA7688" w:rsidP="00FA7688">
      <w:r>
        <w:t>По итогам проведения исследования Исполнитель предоставляет Заказчику следующий комплект материалов:</w:t>
      </w:r>
    </w:p>
    <w:p w14:paraId="3A9A9079" w14:textId="2A51F7B0" w:rsidR="00FA7688" w:rsidRPr="00FA7688" w:rsidRDefault="00FA7688" w:rsidP="00FA7688">
      <w:pPr>
        <w:rPr>
          <w:b/>
          <w:bCs/>
        </w:rPr>
      </w:pPr>
      <w:r>
        <w:rPr>
          <w:b/>
          <w:bCs/>
        </w:rPr>
        <w:t xml:space="preserve">8.1.1. Подробный аналитический отчёт </w:t>
      </w:r>
    </w:p>
    <w:p w14:paraId="56A535C4" w14:textId="77777777" w:rsidR="00FA7688" w:rsidRDefault="00FA7688" w:rsidP="00FA7688">
      <w:pPr>
        <w:pStyle w:val="a7"/>
        <w:numPr>
          <w:ilvl w:val="0"/>
          <w:numId w:val="28"/>
        </w:numPr>
      </w:pPr>
      <w:r>
        <w:t xml:space="preserve">Формат: Word и PDF </w:t>
      </w:r>
    </w:p>
    <w:p w14:paraId="1B0C88CE" w14:textId="77777777" w:rsidR="00FA7688" w:rsidRDefault="00FA7688" w:rsidP="00FA7688">
      <w:pPr>
        <w:pStyle w:val="a7"/>
        <w:numPr>
          <w:ilvl w:val="0"/>
          <w:numId w:val="28"/>
        </w:numPr>
      </w:pPr>
      <w:r>
        <w:t xml:space="preserve">Объём: 40–60 страниц </w:t>
      </w:r>
    </w:p>
    <w:p w14:paraId="4AE91031" w14:textId="77777777" w:rsidR="00FA7688" w:rsidRDefault="00FA7688" w:rsidP="00FA7688">
      <w:pPr>
        <w:pStyle w:val="a7"/>
        <w:numPr>
          <w:ilvl w:val="0"/>
          <w:numId w:val="28"/>
        </w:numPr>
      </w:pPr>
      <w:r>
        <w:t xml:space="preserve">Содержание: методология, описание выборки, результаты по всем блокам анкеты, анализ Brand Health показателей, выводы и рекомендации </w:t>
      </w:r>
    </w:p>
    <w:p w14:paraId="6A1EFAF8" w14:textId="6C94D29C" w:rsidR="00FA7688" w:rsidRPr="00FA7688" w:rsidRDefault="00FA7688" w:rsidP="00FA7688">
      <w:pPr>
        <w:rPr>
          <w:b/>
          <w:bCs/>
        </w:rPr>
      </w:pPr>
      <w:r>
        <w:rPr>
          <w:b/>
          <w:bCs/>
        </w:rPr>
        <w:t xml:space="preserve">8.1.2. Краткая презентация для руководства </w:t>
      </w:r>
    </w:p>
    <w:p w14:paraId="418EEDC3" w14:textId="77777777" w:rsidR="00FA7688" w:rsidRDefault="00FA7688" w:rsidP="00FA7688">
      <w:pPr>
        <w:pStyle w:val="a7"/>
        <w:numPr>
          <w:ilvl w:val="0"/>
          <w:numId w:val="29"/>
        </w:numPr>
      </w:pPr>
      <w:r>
        <w:t xml:space="preserve">Формат: PowerPoint (PPT) </w:t>
      </w:r>
    </w:p>
    <w:p w14:paraId="23441A5F" w14:textId="77777777" w:rsidR="00FA7688" w:rsidRDefault="00FA7688" w:rsidP="00FA7688">
      <w:pPr>
        <w:pStyle w:val="a7"/>
        <w:numPr>
          <w:ilvl w:val="0"/>
          <w:numId w:val="29"/>
        </w:numPr>
      </w:pPr>
      <w:r>
        <w:t xml:space="preserve">Объём: 20–25 слайдов </w:t>
      </w:r>
    </w:p>
    <w:p w14:paraId="06B481C3" w14:textId="77777777" w:rsidR="00FA7688" w:rsidRDefault="00FA7688" w:rsidP="00FA7688">
      <w:pPr>
        <w:pStyle w:val="a7"/>
        <w:numPr>
          <w:ilvl w:val="0"/>
          <w:numId w:val="29"/>
        </w:numPr>
      </w:pPr>
      <w:r>
        <w:t xml:space="preserve">Содержание: ключевые инсайты, основные метрики, конкурентное положение, выводы и стратегические рекомендации </w:t>
      </w:r>
    </w:p>
    <w:p w14:paraId="55E2C1BF" w14:textId="0DAFF125" w:rsidR="00FA7688" w:rsidRPr="00FA7688" w:rsidRDefault="00FA7688" w:rsidP="00FA7688">
      <w:pPr>
        <w:rPr>
          <w:b/>
          <w:bCs/>
        </w:rPr>
      </w:pPr>
      <w:r>
        <w:rPr>
          <w:b/>
          <w:bCs/>
        </w:rPr>
        <w:t xml:space="preserve">8.1.3. Executive </w:t>
      </w:r>
      <w:proofErr w:type="spellStart"/>
      <w:r>
        <w:rPr>
          <w:b/>
          <w:bCs/>
        </w:rPr>
        <w:t>Summary</w:t>
      </w:r>
      <w:proofErr w:type="spellEnd"/>
      <w:r>
        <w:rPr>
          <w:b/>
          <w:bCs/>
        </w:rPr>
        <w:t xml:space="preserve"> (для Правления и Наблюдательного совета) </w:t>
      </w:r>
    </w:p>
    <w:p w14:paraId="772FA728" w14:textId="77777777" w:rsidR="00FA7688" w:rsidRDefault="00FA7688" w:rsidP="00FA7688">
      <w:pPr>
        <w:pStyle w:val="a7"/>
        <w:numPr>
          <w:ilvl w:val="0"/>
          <w:numId w:val="30"/>
        </w:numPr>
      </w:pPr>
      <w:r>
        <w:t xml:space="preserve">Формат: отдельный документ (Word/PDF) </w:t>
      </w:r>
    </w:p>
    <w:p w14:paraId="7A2CA383" w14:textId="77777777" w:rsidR="00FA7688" w:rsidRDefault="00FA7688" w:rsidP="00FA7688">
      <w:pPr>
        <w:pStyle w:val="a7"/>
        <w:numPr>
          <w:ilvl w:val="0"/>
          <w:numId w:val="30"/>
        </w:numPr>
      </w:pPr>
      <w:r>
        <w:t xml:space="preserve">Объём: 2–3 страницы </w:t>
      </w:r>
    </w:p>
    <w:p w14:paraId="1D89CDB5" w14:textId="77777777" w:rsidR="00FA7688" w:rsidRDefault="00FA7688" w:rsidP="00FA7688">
      <w:pPr>
        <w:pStyle w:val="a7"/>
        <w:numPr>
          <w:ilvl w:val="0"/>
          <w:numId w:val="30"/>
        </w:numPr>
      </w:pPr>
      <w:r>
        <w:t xml:space="preserve">Требования к содержанию: </w:t>
      </w:r>
    </w:p>
    <w:p w14:paraId="4AA548A2" w14:textId="77777777" w:rsidR="00FA7688" w:rsidRDefault="00FA7688" w:rsidP="00FA7688">
      <w:pPr>
        <w:pStyle w:val="a7"/>
        <w:numPr>
          <w:ilvl w:val="0"/>
          <w:numId w:val="31"/>
        </w:numPr>
      </w:pPr>
      <w:r>
        <w:t xml:space="preserve">краткое изложение целей и методологии исследования </w:t>
      </w:r>
    </w:p>
    <w:p w14:paraId="41E04B50" w14:textId="77777777" w:rsidR="00FA7688" w:rsidRDefault="00FA7688" w:rsidP="00FA7688">
      <w:pPr>
        <w:pStyle w:val="a7"/>
        <w:numPr>
          <w:ilvl w:val="0"/>
          <w:numId w:val="31"/>
        </w:numPr>
      </w:pPr>
      <w:r>
        <w:t xml:space="preserve">ключевые стратегические выводы без технических деталей </w:t>
      </w:r>
    </w:p>
    <w:p w14:paraId="54B61B72" w14:textId="77777777" w:rsidR="00FA7688" w:rsidRDefault="00FA7688" w:rsidP="00FA7688">
      <w:pPr>
        <w:pStyle w:val="a7"/>
        <w:numPr>
          <w:ilvl w:val="0"/>
          <w:numId w:val="31"/>
        </w:numPr>
      </w:pPr>
      <w:r>
        <w:t xml:space="preserve">основные риски и возможности для бренда </w:t>
      </w:r>
    </w:p>
    <w:p w14:paraId="6947C704" w14:textId="77777777" w:rsidR="00FA7688" w:rsidRDefault="00FA7688" w:rsidP="00FA7688">
      <w:pPr>
        <w:pStyle w:val="a7"/>
        <w:numPr>
          <w:ilvl w:val="0"/>
          <w:numId w:val="32"/>
        </w:numPr>
      </w:pPr>
      <w:r>
        <w:t xml:space="preserve">текущая позиция банка относительно цели стать «банком первого выбора» </w:t>
      </w:r>
    </w:p>
    <w:p w14:paraId="01AAE628" w14:textId="77777777" w:rsidR="00FA7688" w:rsidRDefault="00FA7688" w:rsidP="00FA7688">
      <w:pPr>
        <w:pStyle w:val="a7"/>
        <w:numPr>
          <w:ilvl w:val="0"/>
          <w:numId w:val="32"/>
        </w:numPr>
      </w:pPr>
      <w:r>
        <w:t xml:space="preserve">5–7 наиболее значимых инсайтов для принятия управленческих решений </w:t>
      </w:r>
    </w:p>
    <w:p w14:paraId="144C501F" w14:textId="77777777" w:rsidR="00FA7688" w:rsidRDefault="00FA7688" w:rsidP="00FA7688">
      <w:pPr>
        <w:pStyle w:val="a7"/>
        <w:numPr>
          <w:ilvl w:val="0"/>
          <w:numId w:val="32"/>
        </w:numPr>
      </w:pPr>
      <w:r>
        <w:t xml:space="preserve">Формулировки должны быть максимально лаконичными, управленческими и ориентированными на уровень Правления и Наблюдательного совета </w:t>
      </w:r>
    </w:p>
    <w:p w14:paraId="4EAA6298" w14:textId="44BAE66D" w:rsidR="00FA7688" w:rsidRPr="00FA7688" w:rsidRDefault="00FA7688" w:rsidP="00FA7688">
      <w:pPr>
        <w:rPr>
          <w:b/>
          <w:bCs/>
        </w:rPr>
      </w:pPr>
      <w:r>
        <w:rPr>
          <w:b/>
          <w:bCs/>
        </w:rPr>
        <w:t xml:space="preserve">8.1.4. Сырые данные и кодировочная таблица </w:t>
      </w:r>
    </w:p>
    <w:p w14:paraId="79954DF0" w14:textId="77777777" w:rsidR="00FA7688" w:rsidRDefault="00FA7688" w:rsidP="006202A2">
      <w:pPr>
        <w:pStyle w:val="a7"/>
        <w:numPr>
          <w:ilvl w:val="0"/>
          <w:numId w:val="34"/>
        </w:numPr>
      </w:pPr>
      <w:r>
        <w:t xml:space="preserve">Формат: Excel </w:t>
      </w:r>
    </w:p>
    <w:p w14:paraId="6FDBDF87" w14:textId="77777777" w:rsidR="00FA7688" w:rsidRDefault="00FA7688" w:rsidP="006202A2">
      <w:pPr>
        <w:pStyle w:val="a7"/>
        <w:numPr>
          <w:ilvl w:val="0"/>
          <w:numId w:val="34"/>
        </w:numPr>
      </w:pPr>
      <w:r>
        <w:lastRenderedPageBreak/>
        <w:t xml:space="preserve">Содержание: полный массив собранных данных, кодировка переменных, структура базы, описание переменных </w:t>
      </w:r>
    </w:p>
    <w:p w14:paraId="0D34BE33" w14:textId="28FC0A49" w:rsidR="007D33AC" w:rsidRPr="007D33AC" w:rsidRDefault="007D33AC" w:rsidP="007D33AC">
      <w:pPr>
        <w:rPr>
          <w:b/>
          <w:bCs/>
        </w:rPr>
      </w:pPr>
      <w:r>
        <w:rPr>
          <w:b/>
          <w:bCs/>
        </w:rPr>
        <w:t xml:space="preserve">8.2. Обязательные блоки отчета </w:t>
      </w:r>
      <w:r>
        <w:rPr>
          <w:b/>
          <w:bCs/>
          <w:lang w:val="en-US"/>
        </w:rPr>
        <w:t>Brand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Health</w:t>
      </w:r>
      <w:r>
        <w:rPr>
          <w:b/>
          <w:bCs/>
        </w:rPr>
        <w:t xml:space="preserve"> </w:t>
      </w:r>
    </w:p>
    <w:p w14:paraId="4EE42AB3" w14:textId="713A10F0" w:rsidR="007D33AC" w:rsidRPr="006202A2" w:rsidRDefault="006202A2" w:rsidP="007D33AC">
      <w:pPr>
        <w:rPr>
          <w:b/>
          <w:bCs/>
        </w:rPr>
      </w:pPr>
      <w:r>
        <w:t xml:space="preserve">• Brand </w:t>
      </w:r>
      <w:proofErr w:type="spellStart"/>
      <w:r>
        <w:t>Funnel</w:t>
      </w:r>
      <w:proofErr w:type="spellEnd"/>
      <w:r>
        <w:t xml:space="preserve"> (знание - рассмотрение/выбор - лояльность)</w:t>
      </w:r>
      <w:r>
        <w:br/>
        <w:t>• Карта позиционирования бренд</w:t>
      </w:r>
      <w:r w:rsidR="00865383">
        <w:t>ов</w:t>
      </w:r>
      <w:r>
        <w:br/>
        <w:t>• Сегментация аудитории (ключевые целевые группы и их профили)</w:t>
      </w:r>
      <w:r>
        <w:br/>
        <w:t>• Конкурентный анализ (позиции банка относительно основных конкурентов)</w:t>
      </w:r>
      <w:r>
        <w:br/>
        <w:t xml:space="preserve">• Тест рекламных креативов (Ad </w:t>
      </w:r>
      <w:proofErr w:type="spellStart"/>
      <w:r>
        <w:t>Recall</w:t>
      </w:r>
      <w:proofErr w:type="spellEnd"/>
      <w:r w:rsidR="000C6C7E">
        <w:t xml:space="preserve"> – знание рекламы, правильно названный бренд</w:t>
      </w:r>
      <w:r>
        <w:t>,</w:t>
      </w:r>
      <w:r w:rsidR="000C6C7E">
        <w:t xml:space="preserve"> правильное считывание сообщения, мотивация к пользованию услугами, нравится ли креатив, уровень его оригинальности по сравнению с другими</w:t>
      </w:r>
      <w:r w:rsidR="004A5E2B">
        <w:t>)</w:t>
      </w:r>
      <w:r>
        <w:br/>
        <w:t xml:space="preserve">• Медиапотребление аудитории (где и как аудитория видит банковскую рекламу: ТВ, </w:t>
      </w:r>
      <w:proofErr w:type="spellStart"/>
      <w:r>
        <w:t>digital</w:t>
      </w:r>
      <w:proofErr w:type="spellEnd"/>
      <w:r>
        <w:t>, OOH и другие каналы)</w:t>
      </w:r>
      <w:r>
        <w:br/>
        <w:t xml:space="preserve">• Digital-поведение аудитории (знание и использование </w:t>
      </w:r>
      <w:proofErr w:type="spellStart"/>
      <w:r>
        <w:t>Эсхата</w:t>
      </w:r>
      <w:proofErr w:type="spellEnd"/>
      <w:r>
        <w:t xml:space="preserve"> Онлайн, частота использования, цифровая вовлечённость)</w:t>
      </w:r>
      <w:r>
        <w:br/>
        <w:t>• Рекомендации по усилению бренда и коммуникаций</w:t>
      </w:r>
      <w:r>
        <w:br/>
      </w:r>
      <w:r>
        <w:br/>
      </w:r>
      <w:r>
        <w:rPr>
          <w:b/>
          <w:bCs/>
        </w:rPr>
        <w:t xml:space="preserve">8.3. Обязательные блоки </w:t>
      </w:r>
      <w:r>
        <w:rPr>
          <w:b/>
          <w:bCs/>
          <w:lang w:val="tg-Cyrl-TJ"/>
        </w:rPr>
        <w:t xml:space="preserve">по </w:t>
      </w:r>
      <w:r>
        <w:rPr>
          <w:b/>
          <w:bCs/>
          <w:lang w:val="en-US"/>
        </w:rPr>
        <w:t>NPS</w:t>
      </w:r>
    </w:p>
    <w:p w14:paraId="454538EF" w14:textId="77777777" w:rsidR="00D71567" w:rsidRDefault="00D71567" w:rsidP="00D71567">
      <w:r>
        <w:t>• Общий NPS (уровень лояльности клиентов)</w:t>
      </w:r>
    </w:p>
    <w:p w14:paraId="0BA610E7" w14:textId="350E75B7" w:rsidR="00D71567" w:rsidRPr="000C6C7E" w:rsidRDefault="00D71567" w:rsidP="00D71567">
      <w:r>
        <w:t xml:space="preserve">• NPS по каналам обслуживания (офис, контакт-центр, </w:t>
      </w:r>
      <w:proofErr w:type="spellStart"/>
      <w:r>
        <w:t>digital</w:t>
      </w:r>
      <w:proofErr w:type="spellEnd"/>
      <w:r>
        <w:t>, партнерские точки и др.)</w:t>
      </w:r>
      <w:r w:rsidR="004A5E2B">
        <w:t xml:space="preserve"> – если удастся их отдельно выделить</w:t>
      </w:r>
    </w:p>
    <w:p w14:paraId="7CE32CDB" w14:textId="77777777" w:rsidR="00D71567" w:rsidRDefault="00D71567" w:rsidP="00D71567">
      <w:r>
        <w:t>• NPS по продуктам (карты, кредиты, депозиты, переводы и др.)</w:t>
      </w:r>
    </w:p>
    <w:p w14:paraId="323CBD94" w14:textId="77777777" w:rsidR="00D71567" w:rsidRDefault="00D71567" w:rsidP="00D71567">
      <w:r>
        <w:t>• Причины недовольства и ключевые драйверы оценки (детерминанты NPS)</w:t>
      </w:r>
    </w:p>
    <w:p w14:paraId="5F419F85" w14:textId="77777777" w:rsidR="00D71567" w:rsidRPr="00D71567" w:rsidRDefault="00D71567" w:rsidP="00D71567">
      <w:pPr>
        <w:rPr>
          <w:lang w:val="en-US"/>
        </w:rPr>
      </w:pPr>
      <w:r>
        <w:rPr>
          <w:lang w:val="en-US"/>
        </w:rPr>
        <w:t xml:space="preserve">• </w:t>
      </w:r>
      <w:r>
        <w:t>Инсайты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t>клиентскому</w:t>
      </w:r>
      <w:r>
        <w:rPr>
          <w:lang w:val="en-US"/>
        </w:rPr>
        <w:t xml:space="preserve"> </w:t>
      </w:r>
      <w:r>
        <w:t>опыту</w:t>
      </w:r>
      <w:r>
        <w:rPr>
          <w:lang w:val="en-US"/>
        </w:rPr>
        <w:t xml:space="preserve"> (customer experience insights)</w:t>
      </w:r>
    </w:p>
    <w:p w14:paraId="73919977" w14:textId="77777777" w:rsidR="00D71567" w:rsidRDefault="00D71567" w:rsidP="00D71567">
      <w:r>
        <w:t xml:space="preserve">• Анализ связи NPS с </w:t>
      </w:r>
      <w:proofErr w:type="spellStart"/>
      <w:r>
        <w:t>digital</w:t>
      </w:r>
      <w:proofErr w:type="spellEnd"/>
      <w:r>
        <w:t xml:space="preserve">-поведением (в т.ч. использование </w:t>
      </w:r>
      <w:proofErr w:type="spellStart"/>
      <w:r>
        <w:t>Эсхата</w:t>
      </w:r>
      <w:proofErr w:type="spellEnd"/>
      <w:r>
        <w:t xml:space="preserve"> Онлайн)</w:t>
      </w:r>
    </w:p>
    <w:p w14:paraId="75D8CE88" w14:textId="33B95681" w:rsidR="00FA7AF7" w:rsidRDefault="00D71567" w:rsidP="00D71567">
      <w:pPr>
        <w:rPr>
          <w:b/>
          <w:bCs/>
        </w:rPr>
      </w:pPr>
      <w:r>
        <w:t>• Рекомендации по повышению NPS и улучшению клиентского опыта</w:t>
      </w:r>
      <w:r>
        <w:br/>
      </w:r>
    </w:p>
    <w:p w14:paraId="086FBB9C" w14:textId="4209323B" w:rsidR="00FA7AF7" w:rsidRPr="00FA7AF7" w:rsidRDefault="00FA7AF7" w:rsidP="00B474BD">
      <w:pPr>
        <w:ind w:left="720"/>
        <w:rPr>
          <w:b/>
          <w:bCs/>
        </w:rPr>
      </w:pPr>
      <w:proofErr w:type="spellStart"/>
      <w:r>
        <w:rPr>
          <w:b/>
          <w:bCs/>
        </w:rPr>
        <w:t>Output</w:t>
      </w:r>
      <w:proofErr w:type="spellEnd"/>
      <w:r>
        <w:rPr>
          <w:b/>
          <w:bCs/>
        </w:rPr>
        <w:t>:</w:t>
      </w:r>
    </w:p>
    <w:p w14:paraId="417D0BD7" w14:textId="77777777" w:rsidR="00FA7AF7" w:rsidRPr="00FA7AF7" w:rsidRDefault="00FA7AF7" w:rsidP="00FA7AF7">
      <w:pPr>
        <w:numPr>
          <w:ilvl w:val="0"/>
          <w:numId w:val="24"/>
        </w:numPr>
      </w:pPr>
      <w:r>
        <w:t xml:space="preserve">ТОП факторов, влияющих на: </w:t>
      </w:r>
    </w:p>
    <w:p w14:paraId="753C0B79" w14:textId="77777777" w:rsidR="00FA7AF7" w:rsidRPr="00FA7AF7" w:rsidRDefault="00FA7AF7" w:rsidP="00FA7AF7">
      <w:pPr>
        <w:numPr>
          <w:ilvl w:val="0"/>
          <w:numId w:val="24"/>
        </w:numPr>
      </w:pPr>
      <w:r>
        <w:t xml:space="preserve">лояльность </w:t>
      </w:r>
    </w:p>
    <w:p w14:paraId="1B910F07" w14:textId="77777777" w:rsidR="00FA7AF7" w:rsidRPr="00FA7AF7" w:rsidRDefault="00FA7AF7" w:rsidP="00FA7AF7">
      <w:pPr>
        <w:numPr>
          <w:ilvl w:val="0"/>
          <w:numId w:val="24"/>
        </w:numPr>
      </w:pPr>
      <w:r>
        <w:t xml:space="preserve">отток </w:t>
      </w:r>
    </w:p>
    <w:p w14:paraId="0416DD64" w14:textId="42FCCEFD" w:rsidR="007D33AC" w:rsidRPr="007D33AC" w:rsidRDefault="00FA7AF7" w:rsidP="00FA7AF7">
      <w:pPr>
        <w:numPr>
          <w:ilvl w:val="0"/>
          <w:numId w:val="24"/>
        </w:numPr>
      </w:pPr>
      <w:r>
        <w:t>удовлетворенность</w:t>
      </w:r>
      <w:r>
        <w:br/>
      </w:r>
      <w:r>
        <w:br/>
      </w:r>
    </w:p>
    <w:p w14:paraId="6FAC5915" w14:textId="5EBDF378" w:rsidR="007D33AC" w:rsidRPr="007D33AC" w:rsidRDefault="007D33AC" w:rsidP="007D33AC">
      <w:pPr>
        <w:rPr>
          <w:b/>
          <w:bCs/>
        </w:rPr>
      </w:pPr>
      <w:r>
        <w:rPr>
          <w:b/>
          <w:bCs/>
          <w:lang w:val="en-US"/>
        </w:rPr>
        <w:t>9</w:t>
      </w:r>
      <w:r>
        <w:rPr>
          <w:b/>
          <w:bCs/>
        </w:rPr>
        <w:t>. Требования к исполнителю</w:t>
      </w:r>
    </w:p>
    <w:p w14:paraId="41E273A3" w14:textId="77777777" w:rsidR="007D33AC" w:rsidRPr="007D33AC" w:rsidRDefault="007D33AC" w:rsidP="007D33AC">
      <w:pPr>
        <w:numPr>
          <w:ilvl w:val="0"/>
          <w:numId w:val="22"/>
        </w:numPr>
      </w:pPr>
      <w:r>
        <w:t xml:space="preserve">опыт 5+ лет </w:t>
      </w:r>
    </w:p>
    <w:p w14:paraId="277B1B8B" w14:textId="0B45AD1D" w:rsidR="007D33AC" w:rsidRPr="007D33AC" w:rsidRDefault="007D33AC" w:rsidP="00D71567">
      <w:pPr>
        <w:numPr>
          <w:ilvl w:val="0"/>
          <w:numId w:val="22"/>
        </w:numPr>
      </w:pPr>
      <w:r>
        <w:lastRenderedPageBreak/>
        <w:t xml:space="preserve">кейсы в банковском секторе (минимум 2 конкретные кейсы BHT/NPS в банковском секторе ЦА). </w:t>
      </w:r>
    </w:p>
    <w:p w14:paraId="38DC697B" w14:textId="77777777" w:rsidR="007D33AC" w:rsidRPr="007D33AC" w:rsidRDefault="007D33AC" w:rsidP="007D33AC">
      <w:pPr>
        <w:numPr>
          <w:ilvl w:val="0"/>
          <w:numId w:val="22"/>
        </w:numPr>
      </w:pPr>
      <w:r>
        <w:t xml:space="preserve">локальная экспертиза </w:t>
      </w:r>
    </w:p>
    <w:p w14:paraId="7AC7602F" w14:textId="77777777" w:rsidR="007D33AC" w:rsidRPr="007D33AC" w:rsidRDefault="007D33AC" w:rsidP="007D33AC">
      <w:pPr>
        <w:numPr>
          <w:ilvl w:val="0"/>
          <w:numId w:val="22"/>
        </w:numPr>
      </w:pPr>
      <w:r>
        <w:t>наличие команды (аналитики, интервьюеры)</w:t>
      </w:r>
    </w:p>
    <w:p w14:paraId="0ED3ED30" w14:textId="052D4239" w:rsidR="007D33AC" w:rsidRPr="007D33AC" w:rsidRDefault="007D33AC" w:rsidP="007D33AC">
      <w:pPr>
        <w:numPr>
          <w:ilvl w:val="0"/>
          <w:numId w:val="22"/>
        </w:numPr>
      </w:pPr>
      <w:r>
        <w:t>опыт проведения NPS</w:t>
      </w:r>
    </w:p>
    <w:p w14:paraId="34ACBA19" w14:textId="352FB641" w:rsidR="007D33AC" w:rsidRPr="007D33AC" w:rsidRDefault="007D33AC" w:rsidP="007D33AC">
      <w:pPr>
        <w:numPr>
          <w:ilvl w:val="0"/>
          <w:numId w:val="22"/>
        </w:numPr>
      </w:pPr>
      <w:r>
        <w:t>наличие CX-экспертизы</w:t>
      </w:r>
    </w:p>
    <w:p w14:paraId="408D00DD" w14:textId="6CB3555C" w:rsidR="007D33AC" w:rsidRPr="007D33AC" w:rsidRDefault="007D33AC" w:rsidP="007D33AC">
      <w:pPr>
        <w:rPr>
          <w:b/>
          <w:bCs/>
        </w:rPr>
      </w:pPr>
      <w:r>
        <w:rPr>
          <w:b/>
          <w:bCs/>
          <w:lang w:val="en-US"/>
        </w:rPr>
        <w:t>10</w:t>
      </w:r>
      <w:r>
        <w:rPr>
          <w:b/>
          <w:bCs/>
        </w:rPr>
        <w:t>. Критерии приемки</w:t>
      </w:r>
    </w:p>
    <w:p w14:paraId="7C66E623" w14:textId="77777777" w:rsidR="007D33AC" w:rsidRPr="007D33AC" w:rsidRDefault="007D33AC" w:rsidP="007D33AC">
      <w:pPr>
        <w:numPr>
          <w:ilvl w:val="0"/>
          <w:numId w:val="23"/>
        </w:numPr>
      </w:pPr>
      <w:r>
        <w:t xml:space="preserve">соблюдение выборки </w:t>
      </w:r>
    </w:p>
    <w:p w14:paraId="1297D457" w14:textId="77777777" w:rsidR="007D33AC" w:rsidRPr="007D33AC" w:rsidRDefault="007D33AC" w:rsidP="007D33AC">
      <w:pPr>
        <w:numPr>
          <w:ilvl w:val="0"/>
          <w:numId w:val="23"/>
        </w:numPr>
      </w:pPr>
      <w:r>
        <w:t xml:space="preserve">корректность данных </w:t>
      </w:r>
    </w:p>
    <w:p w14:paraId="65B9B863" w14:textId="77777777" w:rsidR="007D33AC" w:rsidRPr="007D33AC" w:rsidRDefault="007D33AC" w:rsidP="007D33AC">
      <w:pPr>
        <w:numPr>
          <w:ilvl w:val="0"/>
          <w:numId w:val="23"/>
        </w:numPr>
      </w:pPr>
      <w:r>
        <w:t xml:space="preserve">полнота анализа </w:t>
      </w:r>
    </w:p>
    <w:p w14:paraId="2E208B93" w14:textId="5FF23C05" w:rsidR="007D33AC" w:rsidRPr="007D33AC" w:rsidRDefault="007D33AC" w:rsidP="007D33AC">
      <w:pPr>
        <w:numPr>
          <w:ilvl w:val="0"/>
          <w:numId w:val="23"/>
        </w:numPr>
      </w:pPr>
      <w:r>
        <w:t xml:space="preserve">наличие практических рекомендаций </w:t>
      </w:r>
    </w:p>
    <w:p w14:paraId="433E7214" w14:textId="5BA8B9FA" w:rsidR="00EA02DB" w:rsidRPr="00EA02DB" w:rsidRDefault="00EA02DB" w:rsidP="00EA02DB">
      <w:pPr>
        <w:rPr>
          <w:b/>
          <w:bCs/>
        </w:rPr>
      </w:pPr>
      <w:r>
        <w:rPr>
          <w:b/>
          <w:bCs/>
        </w:rPr>
        <w:t>11. Бюджетные ограничения</w:t>
      </w:r>
    </w:p>
    <w:p w14:paraId="285C2AA5" w14:textId="72F39026" w:rsidR="007D33AC" w:rsidRDefault="00EA02DB" w:rsidP="00EA02DB">
      <w:r>
        <w:t>11.1. Ориентировочный бюджет проекта составляет около 250 000 (двести пятьдесят тысяч) сомони и включает проведение двух исследовательских волн.</w:t>
      </w:r>
    </w:p>
    <w:p w14:paraId="4A4DB025" w14:textId="04EDE3F7" w:rsidR="00EA02DB" w:rsidRDefault="00EA02DB" w:rsidP="00EA02DB">
      <w:r>
        <w:t>11.2. Подрядчик должен предоставить коммерческое предложение с указанием стоимости:</w:t>
      </w:r>
    </w:p>
    <w:p w14:paraId="7591E835" w14:textId="11265DA5" w:rsidR="00EA02DB" w:rsidRDefault="00EA02DB" w:rsidP="00EA02DB">
      <w:pPr>
        <w:pStyle w:val="a7"/>
        <w:numPr>
          <w:ilvl w:val="0"/>
          <w:numId w:val="35"/>
        </w:numPr>
      </w:pPr>
      <w:r>
        <w:t>за одну волну исследования (предпочтительный формат)</w:t>
      </w:r>
    </w:p>
    <w:p w14:paraId="64A941DD" w14:textId="354F2C42" w:rsidR="00EA02DB" w:rsidRPr="00EA02DB" w:rsidRDefault="00EA02DB" w:rsidP="00EA02DB">
      <w:pPr>
        <w:rPr>
          <w:b/>
          <w:bCs/>
        </w:rPr>
      </w:pPr>
      <w:r>
        <w:t>11.3. В стоимость каждой волны должны входить:</w:t>
      </w:r>
    </w:p>
    <w:p w14:paraId="4ADA59C5" w14:textId="77777777" w:rsidR="00EA02DB" w:rsidRDefault="00EA02DB" w:rsidP="00EA02DB">
      <w:pPr>
        <w:pStyle w:val="a7"/>
        <w:numPr>
          <w:ilvl w:val="0"/>
          <w:numId w:val="36"/>
        </w:numPr>
      </w:pPr>
      <w:r>
        <w:t>подготовка и организация полевых работ;</w:t>
      </w:r>
    </w:p>
    <w:p w14:paraId="35B2BD2C" w14:textId="77777777" w:rsidR="00EA02DB" w:rsidRDefault="00EA02DB" w:rsidP="00EA02DB">
      <w:pPr>
        <w:pStyle w:val="a7"/>
        <w:numPr>
          <w:ilvl w:val="0"/>
          <w:numId w:val="36"/>
        </w:numPr>
      </w:pPr>
      <w:r>
        <w:t>сбор данных и контроль качества;</w:t>
      </w:r>
    </w:p>
    <w:p w14:paraId="25101C53" w14:textId="77777777" w:rsidR="00EA02DB" w:rsidRDefault="00EA02DB" w:rsidP="00EA02DB">
      <w:pPr>
        <w:pStyle w:val="a7"/>
        <w:numPr>
          <w:ilvl w:val="0"/>
          <w:numId w:val="36"/>
        </w:numPr>
      </w:pPr>
      <w:r>
        <w:t>аналитическая обработка результатов;</w:t>
      </w:r>
    </w:p>
    <w:p w14:paraId="761B5FBC" w14:textId="77777777" w:rsidR="00EA02DB" w:rsidRDefault="00EA02DB" w:rsidP="00EA02DB">
      <w:pPr>
        <w:pStyle w:val="a7"/>
        <w:numPr>
          <w:ilvl w:val="0"/>
          <w:numId w:val="36"/>
        </w:numPr>
      </w:pPr>
      <w:r>
        <w:t>подготовка подробного аналитического отчёта;</w:t>
      </w:r>
    </w:p>
    <w:p w14:paraId="1334A95C" w14:textId="77777777" w:rsidR="00EA02DB" w:rsidRDefault="00EA02DB" w:rsidP="00EA02DB">
      <w:pPr>
        <w:pStyle w:val="a7"/>
        <w:numPr>
          <w:ilvl w:val="0"/>
          <w:numId w:val="36"/>
        </w:numPr>
      </w:pPr>
      <w:r>
        <w:t>подготовка презентации с ключевыми выводами и рекомендациями;</w:t>
      </w:r>
    </w:p>
    <w:p w14:paraId="6651DDD9" w14:textId="77777777" w:rsidR="00EA02DB" w:rsidRDefault="00EA02DB" w:rsidP="00EA02DB">
      <w:pPr>
        <w:pStyle w:val="a7"/>
        <w:numPr>
          <w:ilvl w:val="0"/>
          <w:numId w:val="36"/>
        </w:numPr>
      </w:pPr>
      <w:r>
        <w:t>предоставление базы данных исследования.</w:t>
      </w:r>
    </w:p>
    <w:p w14:paraId="31020BAF" w14:textId="3961BC4A" w:rsidR="00823590" w:rsidRDefault="00EA02DB" w:rsidP="00EA02DB">
      <w:r>
        <w:t>11.4. Все расходы, связанные с реализацией проекта, включая организационные, административные и операционные затраты, должны быть включены в итоговую стоимость коммерческого предложения.</w:t>
      </w:r>
    </w:p>
    <w:p w14:paraId="5BF9E645" w14:textId="75813454" w:rsidR="00FB6321" w:rsidRPr="00FB6321" w:rsidRDefault="00FB6321" w:rsidP="00FB6321">
      <w:pPr>
        <w:rPr>
          <w:b/>
          <w:bCs/>
        </w:rPr>
      </w:pPr>
      <w:r>
        <w:rPr>
          <w:b/>
          <w:bCs/>
        </w:rPr>
        <w:t>12. Конфиденциальность и права на результаты исследования</w:t>
      </w:r>
    </w:p>
    <w:p w14:paraId="1D03D802" w14:textId="77777777" w:rsidR="00FB6321" w:rsidRDefault="00FB6321" w:rsidP="00FB6321">
      <w:pPr>
        <w:pStyle w:val="a7"/>
        <w:numPr>
          <w:ilvl w:val="0"/>
          <w:numId w:val="40"/>
        </w:numPr>
      </w:pPr>
      <w:r>
        <w:t>Подрядчик обязуется подписать Соглашение о неразглашении конфиденциальной информации (NDA) до получения доступа к данным, внутренним материалам и иной информации Заказчика, необходимой для выполнения работ.</w:t>
      </w:r>
    </w:p>
    <w:p w14:paraId="378290A1" w14:textId="77777777" w:rsidR="00FB6321" w:rsidRDefault="00FB6321" w:rsidP="00FB6321">
      <w:pPr>
        <w:pStyle w:val="a7"/>
        <w:numPr>
          <w:ilvl w:val="0"/>
          <w:numId w:val="40"/>
        </w:numPr>
      </w:pPr>
      <w:r>
        <w:t xml:space="preserve">Все результаты исследования, включая аналитические материалы, выводы, базы данных, презентации, отчёты, методологии, визуальные материалы и </w:t>
      </w:r>
      <w:r>
        <w:lastRenderedPageBreak/>
        <w:t>иные созданные в рамках проекта материалы, являются интеллектуальной собственностью Заказчика.</w:t>
      </w:r>
    </w:p>
    <w:p w14:paraId="09B57292" w14:textId="26F34A67" w:rsidR="00FB6321" w:rsidRDefault="00FB6321" w:rsidP="00FB6321">
      <w:pPr>
        <w:pStyle w:val="a7"/>
        <w:numPr>
          <w:ilvl w:val="0"/>
          <w:numId w:val="40"/>
        </w:numPr>
      </w:pPr>
      <w:r>
        <w:t>Подрядчик не вправе использовать, публиковать, передавать третьим лицам или применять результаты исследования полностью или частично в собственных целях без предварительного письменного согласия Заказчика.</w:t>
      </w:r>
    </w:p>
    <w:p w14:paraId="271C19D8" w14:textId="77777777" w:rsidR="00823590" w:rsidRPr="00861852" w:rsidRDefault="00823590">
      <w:pPr>
        <w:rPr>
          <w:lang w:val="tg-Cyrl-TJ"/>
        </w:rPr>
      </w:pPr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4532"/>
        <w:gridCol w:w="3211"/>
      </w:tblGrid>
      <w:tr w:rsidR="00823590" w:rsidRPr="00823590" w14:paraId="432D3939" w14:textId="77777777" w:rsidTr="008235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573395" w14:textId="77777777" w:rsidR="00823590" w:rsidRPr="00823590" w:rsidRDefault="00823590" w:rsidP="0082359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Этап проекта</w:t>
            </w:r>
          </w:p>
        </w:tc>
        <w:tc>
          <w:tcPr>
            <w:tcW w:w="0" w:type="auto"/>
            <w:vAlign w:val="center"/>
            <w:hideMark/>
          </w:tcPr>
          <w:p w14:paraId="5D62C18E" w14:textId="77777777" w:rsidR="00823590" w:rsidRPr="00823590" w:rsidRDefault="00823590" w:rsidP="00823590">
            <w:pPr>
              <w:rPr>
                <w:b/>
                <w:bCs/>
              </w:rPr>
            </w:pPr>
            <w:r>
              <w:rPr>
                <w:b/>
                <w:bCs/>
              </w:rPr>
              <w:t>Описание работ</w:t>
            </w:r>
          </w:p>
        </w:tc>
        <w:tc>
          <w:tcPr>
            <w:tcW w:w="0" w:type="auto"/>
            <w:vAlign w:val="center"/>
            <w:hideMark/>
          </w:tcPr>
          <w:p w14:paraId="30A84A0A" w14:textId="77777777" w:rsidR="00823590" w:rsidRPr="00823590" w:rsidRDefault="00823590" w:rsidP="00823590">
            <w:pPr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</w:tr>
      <w:tr w:rsidR="00823590" w:rsidRPr="00823590" w14:paraId="67F64E69" w14:textId="77777777" w:rsidTr="008235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92682" w14:textId="77777777" w:rsidR="00823590" w:rsidRPr="00823590" w:rsidRDefault="00823590" w:rsidP="00823590">
            <w:r>
              <w:rPr>
                <w:b/>
                <w:bCs/>
              </w:rPr>
              <w:t>Запуск проекта</w:t>
            </w:r>
          </w:p>
        </w:tc>
        <w:tc>
          <w:tcPr>
            <w:tcW w:w="0" w:type="auto"/>
            <w:vAlign w:val="center"/>
            <w:hideMark/>
          </w:tcPr>
          <w:p w14:paraId="49472B28" w14:textId="77777777" w:rsidR="00823590" w:rsidRPr="00823590" w:rsidRDefault="00823590" w:rsidP="00823590">
            <w:r>
              <w:t>Проработка с вендором параметров опроса, согласование методологии и запуск работ</w:t>
            </w:r>
          </w:p>
        </w:tc>
        <w:tc>
          <w:tcPr>
            <w:tcW w:w="0" w:type="auto"/>
            <w:vAlign w:val="center"/>
            <w:hideMark/>
          </w:tcPr>
          <w:p w14:paraId="4A4F86E1" w14:textId="630FD868" w:rsidR="00823590" w:rsidRPr="00823590" w:rsidRDefault="00823590" w:rsidP="00823590">
            <w:r>
              <w:rPr>
                <w:b/>
                <w:bCs/>
              </w:rPr>
              <w:t>1-й опрос:</w:t>
            </w:r>
            <w:r>
              <w:t xml:space="preserve"> до 6 ию</w:t>
            </w:r>
            <w:r w:rsidR="00137DF3">
              <w:t>ля</w:t>
            </w:r>
            <w:r>
              <w:t xml:space="preserve"> </w:t>
            </w:r>
            <w:r>
              <w:rPr>
                <w:i/>
                <w:iCs/>
              </w:rPr>
              <w:t>(зависит от завершения тендера)</w:t>
            </w:r>
            <w:r>
              <w:t xml:space="preserve"> </w:t>
            </w:r>
            <w:r>
              <w:br/>
            </w:r>
            <w:r>
              <w:rPr>
                <w:b/>
                <w:bCs/>
              </w:rPr>
              <w:t>2-й опрос:</w:t>
            </w:r>
            <w:r>
              <w:t xml:space="preserve"> до 11 декабря</w:t>
            </w:r>
          </w:p>
        </w:tc>
      </w:tr>
      <w:tr w:rsidR="00823590" w:rsidRPr="00823590" w14:paraId="50DC3575" w14:textId="77777777" w:rsidTr="008235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B08D4" w14:textId="77777777" w:rsidR="00823590" w:rsidRPr="00823590" w:rsidRDefault="00823590" w:rsidP="00823590">
            <w:r>
              <w:rPr>
                <w:b/>
                <w:bCs/>
              </w:rPr>
              <w:t>Реализация</w:t>
            </w:r>
          </w:p>
        </w:tc>
        <w:tc>
          <w:tcPr>
            <w:tcW w:w="0" w:type="auto"/>
            <w:vAlign w:val="center"/>
            <w:hideMark/>
          </w:tcPr>
          <w:p w14:paraId="60FEA26D" w14:textId="77777777" w:rsidR="00823590" w:rsidRPr="00823590" w:rsidRDefault="00823590" w:rsidP="00823590">
            <w:r>
              <w:t>Проведение полевого этапа опроса, обработка данных и консолидация результатов</w:t>
            </w:r>
          </w:p>
        </w:tc>
        <w:tc>
          <w:tcPr>
            <w:tcW w:w="0" w:type="auto"/>
            <w:vAlign w:val="center"/>
            <w:hideMark/>
          </w:tcPr>
          <w:p w14:paraId="23AA21B7" w14:textId="539B79BA" w:rsidR="00823590" w:rsidRPr="00823590" w:rsidRDefault="00823590" w:rsidP="00823590">
            <w:r>
              <w:rPr>
                <w:b/>
                <w:bCs/>
              </w:rPr>
              <w:t>1-й опрос:</w:t>
            </w:r>
            <w:r>
              <w:t xml:space="preserve"> до 1</w:t>
            </w:r>
            <w:r w:rsidR="00137DF3">
              <w:t>7</w:t>
            </w:r>
            <w:r>
              <w:t xml:space="preserve"> июля </w:t>
            </w:r>
            <w:r>
              <w:br/>
            </w:r>
            <w:r>
              <w:rPr>
                <w:b/>
                <w:bCs/>
              </w:rPr>
              <w:t>2-й опрос:</w:t>
            </w:r>
            <w:r>
              <w:t xml:space="preserve"> до 18 декабря</w:t>
            </w:r>
          </w:p>
        </w:tc>
      </w:tr>
      <w:tr w:rsidR="00823590" w:rsidRPr="00823590" w14:paraId="3C419F61" w14:textId="77777777" w:rsidTr="008235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BAA63" w14:textId="77777777" w:rsidR="00823590" w:rsidRPr="00823590" w:rsidRDefault="00823590" w:rsidP="00823590">
            <w:r>
              <w:rPr>
                <w:b/>
                <w:bCs/>
              </w:rPr>
              <w:t>Итог</w:t>
            </w:r>
          </w:p>
        </w:tc>
        <w:tc>
          <w:tcPr>
            <w:tcW w:w="0" w:type="auto"/>
            <w:vAlign w:val="center"/>
            <w:hideMark/>
          </w:tcPr>
          <w:p w14:paraId="13C46C7D" w14:textId="77777777" w:rsidR="00823590" w:rsidRPr="00823590" w:rsidRDefault="00823590" w:rsidP="00823590">
            <w:r>
              <w:t>Подготовка и презентация итоговых результатов, выводов и рекомендаций</w:t>
            </w:r>
          </w:p>
        </w:tc>
        <w:tc>
          <w:tcPr>
            <w:tcW w:w="0" w:type="auto"/>
            <w:vAlign w:val="center"/>
            <w:hideMark/>
          </w:tcPr>
          <w:p w14:paraId="7182A6B0" w14:textId="3BEF5F59" w:rsidR="00823590" w:rsidRPr="00823590" w:rsidRDefault="00823590" w:rsidP="00823590">
            <w:r>
              <w:rPr>
                <w:b/>
                <w:bCs/>
              </w:rPr>
              <w:t>1-й опрос:</w:t>
            </w:r>
            <w:r>
              <w:t xml:space="preserve"> до 2</w:t>
            </w:r>
            <w:r w:rsidR="00137DF3">
              <w:t>4</w:t>
            </w:r>
            <w:r>
              <w:t xml:space="preserve"> июля </w:t>
            </w:r>
            <w:r>
              <w:br/>
            </w:r>
            <w:r>
              <w:rPr>
                <w:b/>
                <w:bCs/>
              </w:rPr>
              <w:t>2-й опрос:</w:t>
            </w:r>
            <w:r>
              <w:t xml:space="preserve"> до 30 декабря</w:t>
            </w:r>
          </w:p>
        </w:tc>
      </w:tr>
    </w:tbl>
    <w:p w14:paraId="7368346D" w14:textId="77777777" w:rsidR="00EA02DB" w:rsidRDefault="00EA02DB" w:rsidP="00EA02DB"/>
    <w:p w14:paraId="1EFB67F2" w14:textId="59ED0331" w:rsidR="00051D62" w:rsidRPr="00051D62" w:rsidRDefault="00051D62" w:rsidP="00051D62">
      <w:pPr>
        <w:rPr>
          <w:b/>
          <w:bCs/>
        </w:rPr>
      </w:pPr>
      <w:r w:rsidRPr="00051D62">
        <w:rPr>
          <w:b/>
          <w:bCs/>
        </w:rPr>
        <w:t>Порядок подачи заявок для участия в Тендере</w:t>
      </w:r>
    </w:p>
    <w:p w14:paraId="2DCF7366" w14:textId="77777777" w:rsidR="00051D62" w:rsidRPr="00051D62" w:rsidRDefault="00051D62" w:rsidP="00051D62">
      <w:pPr>
        <w:rPr>
          <w:bCs/>
        </w:rPr>
      </w:pPr>
      <w:r w:rsidRPr="00051D62">
        <w:rPr>
          <w:bCs/>
        </w:rPr>
        <w:t>Заявка на участие в Тендере и необходимые документы должны быть предоставлены в запечатанном конверте с подписью или в электронном формате зашифрованным паролем, с последующим предоставлением пароля от файлов отдельным электронным письмом.</w:t>
      </w:r>
    </w:p>
    <w:p w14:paraId="0A8AEAA6" w14:textId="77777777" w:rsidR="00051D62" w:rsidRPr="00051D62" w:rsidRDefault="00051D62" w:rsidP="00051D62">
      <w:pPr>
        <w:rPr>
          <w:b/>
        </w:rPr>
      </w:pPr>
      <w:r w:rsidRPr="00051D62">
        <w:rPr>
          <w:b/>
        </w:rPr>
        <w:t>Список требуемых документов:</w:t>
      </w:r>
    </w:p>
    <w:p w14:paraId="0E588693" w14:textId="77777777" w:rsidR="00051D62" w:rsidRPr="00051D62" w:rsidRDefault="00051D62" w:rsidP="00051D62">
      <w:pPr>
        <w:numPr>
          <w:ilvl w:val="0"/>
          <w:numId w:val="41"/>
        </w:numPr>
      </w:pPr>
      <w:r w:rsidRPr="00051D62">
        <w:t>Тендерная заявка (Приложение №1)</w:t>
      </w:r>
    </w:p>
    <w:p w14:paraId="752F6594" w14:textId="77777777" w:rsidR="00051D62" w:rsidRPr="00051D62" w:rsidRDefault="00051D62" w:rsidP="00051D62">
      <w:pPr>
        <w:numPr>
          <w:ilvl w:val="0"/>
          <w:numId w:val="41"/>
        </w:numPr>
      </w:pPr>
      <w:r w:rsidRPr="00051D62">
        <w:t>Коммерческое предложение (Приложение №2)</w:t>
      </w:r>
    </w:p>
    <w:p w14:paraId="3658D71A" w14:textId="77777777" w:rsidR="00051D62" w:rsidRPr="00051D62" w:rsidRDefault="00051D62" w:rsidP="00051D62">
      <w:pPr>
        <w:numPr>
          <w:ilvl w:val="0"/>
          <w:numId w:val="41"/>
        </w:numPr>
      </w:pPr>
      <w:r w:rsidRPr="00051D62">
        <w:t>Сведения об участнике тендера, например, в виде презентации</w:t>
      </w:r>
    </w:p>
    <w:p w14:paraId="0940CF80" w14:textId="77777777" w:rsidR="00051D62" w:rsidRPr="00051D62" w:rsidRDefault="00051D62" w:rsidP="00051D62">
      <w:pPr>
        <w:numPr>
          <w:ilvl w:val="0"/>
          <w:numId w:val="41"/>
        </w:numPr>
      </w:pPr>
      <w:r w:rsidRPr="00051D62">
        <w:t>Перечень организаций, с которыми участник заключал подобные тендерные договора (опыт работы с другими организациями)</w:t>
      </w:r>
    </w:p>
    <w:p w14:paraId="166506D1" w14:textId="77777777" w:rsidR="00051D62" w:rsidRPr="00051D62" w:rsidRDefault="00051D62" w:rsidP="00051D62">
      <w:pPr>
        <w:numPr>
          <w:ilvl w:val="0"/>
          <w:numId w:val="41"/>
        </w:numPr>
      </w:pPr>
      <w:r w:rsidRPr="00051D62">
        <w:t>Заверенная копия Устава (для юридических лиц)</w:t>
      </w:r>
    </w:p>
    <w:p w14:paraId="3CC344EF" w14:textId="77777777" w:rsidR="00051D62" w:rsidRPr="00051D62" w:rsidRDefault="00051D62" w:rsidP="00051D62">
      <w:pPr>
        <w:numPr>
          <w:ilvl w:val="0"/>
          <w:numId w:val="41"/>
        </w:numPr>
      </w:pPr>
      <w:r w:rsidRPr="00051D62">
        <w:t>Копия свидетельства или патента на предпринимательскую деятельность (для ИП)</w:t>
      </w:r>
    </w:p>
    <w:p w14:paraId="2A3869D4" w14:textId="77777777" w:rsidR="00051D62" w:rsidRPr="00051D62" w:rsidRDefault="00051D62" w:rsidP="00051D62">
      <w:pPr>
        <w:numPr>
          <w:ilvl w:val="0"/>
          <w:numId w:val="41"/>
        </w:numPr>
      </w:pPr>
      <w:r w:rsidRPr="00051D62">
        <w:t>Копии лицензий, сертификатов, дилерских полномочий, при наличии</w:t>
      </w:r>
    </w:p>
    <w:p w14:paraId="5140BE29" w14:textId="77777777" w:rsidR="00051D62" w:rsidRPr="00051D62" w:rsidRDefault="00051D62" w:rsidP="00051D62">
      <w:pPr>
        <w:numPr>
          <w:ilvl w:val="0"/>
          <w:numId w:val="41"/>
        </w:numPr>
      </w:pPr>
      <w:r w:rsidRPr="00051D62">
        <w:t>Актуальная выписка из единого государственного реестра регистрации юридических лиц и индивидуальных предпринимателей</w:t>
      </w:r>
    </w:p>
    <w:p w14:paraId="3BCC040F" w14:textId="77777777" w:rsidR="00051D62" w:rsidRPr="00051D62" w:rsidRDefault="00051D62" w:rsidP="00051D62">
      <w:pPr>
        <w:numPr>
          <w:ilvl w:val="0"/>
          <w:numId w:val="41"/>
        </w:numPr>
      </w:pPr>
      <w:r w:rsidRPr="00051D62">
        <w:t xml:space="preserve">ИНН </w:t>
      </w:r>
    </w:p>
    <w:p w14:paraId="1CC49323" w14:textId="77777777" w:rsidR="00051D62" w:rsidRPr="00051D62" w:rsidRDefault="00051D62" w:rsidP="00051D62">
      <w:pPr>
        <w:numPr>
          <w:ilvl w:val="0"/>
          <w:numId w:val="41"/>
        </w:numPr>
      </w:pPr>
      <w:r w:rsidRPr="00051D62">
        <w:t>Финансовые отчеты за последний год с отметкой налогового органа</w:t>
      </w:r>
    </w:p>
    <w:p w14:paraId="3C4D5778" w14:textId="77777777" w:rsidR="00051D62" w:rsidRPr="00051D62" w:rsidRDefault="00051D62" w:rsidP="00051D62">
      <w:pPr>
        <w:numPr>
          <w:ilvl w:val="0"/>
          <w:numId w:val="41"/>
        </w:numPr>
      </w:pPr>
      <w:r w:rsidRPr="00051D62">
        <w:t>Документы, подтверждающие полномочия представителя на совершение Сделки, а также иные документы, необходимые для идентификации представителя (паспорт и другие документы)</w:t>
      </w:r>
    </w:p>
    <w:p w14:paraId="1066CFF2" w14:textId="77777777" w:rsidR="00051D62" w:rsidRPr="00051D62" w:rsidRDefault="00051D62" w:rsidP="00051D62">
      <w:pPr>
        <w:spacing w:after="120"/>
        <w:ind w:left="643"/>
        <w:jc w:val="right"/>
        <w:rPr>
          <w:rFonts w:cs="Times New Roman"/>
          <w:lang w:val="kk-KZ"/>
        </w:rPr>
      </w:pPr>
      <w:r w:rsidRPr="00051D62">
        <w:rPr>
          <w:rFonts w:cs="Times New Roman"/>
          <w:lang w:val="kk-KZ"/>
        </w:rPr>
        <w:lastRenderedPageBreak/>
        <w:t>Приложение №1 к Тендерной документации</w:t>
      </w:r>
    </w:p>
    <w:p w14:paraId="5344254B" w14:textId="77777777" w:rsidR="00051D62" w:rsidRPr="00051D62" w:rsidRDefault="00051D62" w:rsidP="00051D62">
      <w:pPr>
        <w:ind w:left="643"/>
        <w:rPr>
          <w:rFonts w:cs="Times New Roman"/>
        </w:rPr>
      </w:pPr>
      <w:r w:rsidRPr="00051D62">
        <w:rPr>
          <w:rFonts w:cs="Times New Roman"/>
        </w:rPr>
        <w:t>Бланк поставщика</w:t>
      </w:r>
    </w:p>
    <w:p w14:paraId="785798CA" w14:textId="77777777" w:rsidR="00051D62" w:rsidRPr="00051D62" w:rsidRDefault="00051D62" w:rsidP="00051D62">
      <w:pPr>
        <w:ind w:left="643"/>
        <w:rPr>
          <w:rFonts w:cs="Times New Roman"/>
        </w:rPr>
      </w:pPr>
      <w:r w:rsidRPr="00051D62">
        <w:rPr>
          <w:rFonts w:cs="Times New Roman"/>
        </w:rPr>
        <w:t>(Наименование, адрес, телефон, факс)</w:t>
      </w:r>
    </w:p>
    <w:p w14:paraId="538D88D3" w14:textId="77777777" w:rsidR="00051D62" w:rsidRPr="00051D62" w:rsidRDefault="00051D62" w:rsidP="00051D62">
      <w:pPr>
        <w:ind w:left="643"/>
        <w:jc w:val="right"/>
        <w:rPr>
          <w:rFonts w:cs="Times New Roman"/>
          <w:color w:val="000000" w:themeColor="text1"/>
          <w:shd w:val="clear" w:color="auto" w:fill="FFFFFF"/>
        </w:rPr>
      </w:pPr>
      <w:r w:rsidRPr="00051D62">
        <w:rPr>
          <w:rFonts w:cs="Times New Roman"/>
          <w:color w:val="000000" w:themeColor="text1"/>
          <w:shd w:val="clear" w:color="auto" w:fill="FFFFFF"/>
        </w:rPr>
        <w:t>Председателю Правления</w:t>
      </w:r>
    </w:p>
    <w:p w14:paraId="77C6E1D6" w14:textId="77777777" w:rsidR="00051D62" w:rsidRPr="00051D62" w:rsidRDefault="00051D62" w:rsidP="00051D62">
      <w:pPr>
        <w:ind w:left="643"/>
        <w:jc w:val="right"/>
        <w:rPr>
          <w:rFonts w:cs="Times New Roman"/>
          <w:color w:val="000000" w:themeColor="text1"/>
        </w:rPr>
      </w:pPr>
      <w:r w:rsidRPr="00051D62">
        <w:rPr>
          <w:rFonts w:cs="Times New Roman"/>
          <w:color w:val="000000" w:themeColor="text1"/>
          <w:shd w:val="clear" w:color="auto" w:fill="FFFFFF"/>
        </w:rPr>
        <w:t xml:space="preserve">ОАО «Банк </w:t>
      </w:r>
      <w:proofErr w:type="spellStart"/>
      <w:r w:rsidRPr="00051D62">
        <w:rPr>
          <w:rFonts w:cs="Times New Roman"/>
          <w:color w:val="000000" w:themeColor="text1"/>
          <w:shd w:val="clear" w:color="auto" w:fill="FFFFFF"/>
        </w:rPr>
        <w:t>Эсхата</w:t>
      </w:r>
      <w:proofErr w:type="spellEnd"/>
      <w:r w:rsidRPr="00051D62">
        <w:rPr>
          <w:rFonts w:cs="Times New Roman"/>
          <w:color w:val="000000" w:themeColor="text1"/>
          <w:shd w:val="clear" w:color="auto" w:fill="FFFFFF"/>
        </w:rPr>
        <w:t>»</w:t>
      </w:r>
    </w:p>
    <w:p w14:paraId="23D2D11F" w14:textId="77777777" w:rsidR="00051D62" w:rsidRPr="00051D62" w:rsidRDefault="00051D62" w:rsidP="00051D62">
      <w:pPr>
        <w:ind w:left="643"/>
        <w:rPr>
          <w:rFonts w:cs="Times New Roman"/>
        </w:rPr>
      </w:pPr>
      <w:r w:rsidRPr="00051D62">
        <w:rPr>
          <w:rFonts w:cs="Times New Roman"/>
        </w:rPr>
        <w:t>Дата ______________</w:t>
      </w:r>
    </w:p>
    <w:p w14:paraId="69AD47D5" w14:textId="77777777" w:rsidR="00051D62" w:rsidRPr="00051D62" w:rsidRDefault="00051D62" w:rsidP="00051D62">
      <w:pPr>
        <w:ind w:left="643"/>
        <w:rPr>
          <w:rFonts w:cs="Times New Roman"/>
        </w:rPr>
      </w:pPr>
    </w:p>
    <w:p w14:paraId="37A9B1B6" w14:textId="77777777" w:rsidR="00051D62" w:rsidRPr="00051D62" w:rsidRDefault="00051D62" w:rsidP="00051D62">
      <w:pPr>
        <w:ind w:left="643"/>
        <w:jc w:val="center"/>
        <w:rPr>
          <w:rFonts w:cs="Times New Roman"/>
          <w:b/>
          <w:bCs/>
        </w:rPr>
      </w:pPr>
      <w:r w:rsidRPr="00051D62">
        <w:rPr>
          <w:rFonts w:cs="Times New Roman"/>
          <w:b/>
          <w:bCs/>
        </w:rPr>
        <w:t>ТЕНДЕРНАЯ ЗАЯВКА</w:t>
      </w:r>
    </w:p>
    <w:p w14:paraId="04136C36" w14:textId="77777777" w:rsidR="00051D62" w:rsidRPr="00051D62" w:rsidRDefault="00051D62" w:rsidP="00051D62">
      <w:pPr>
        <w:ind w:left="643"/>
        <w:jc w:val="center"/>
        <w:rPr>
          <w:rFonts w:cs="Times New Roman"/>
          <w:bCs/>
          <w:shd w:val="clear" w:color="auto" w:fill="FFFFFF"/>
        </w:rPr>
      </w:pPr>
      <w:r w:rsidRPr="00051D62">
        <w:rPr>
          <w:rFonts w:cs="Times New Roman"/>
        </w:rPr>
        <w:t xml:space="preserve">для участия в тендере на поставку/оказание услуги </w:t>
      </w:r>
      <w:r w:rsidRPr="00051D62">
        <w:rPr>
          <w:rFonts w:cs="Times New Roman"/>
          <w:bCs/>
          <w:shd w:val="clear" w:color="auto" w:fill="FFFFFF"/>
        </w:rPr>
        <w:t>___________</w:t>
      </w:r>
    </w:p>
    <w:p w14:paraId="782B05F7" w14:textId="77777777" w:rsidR="00051D62" w:rsidRPr="00051D62" w:rsidRDefault="00051D62" w:rsidP="00051D62">
      <w:pPr>
        <w:ind w:left="643"/>
        <w:jc w:val="center"/>
        <w:rPr>
          <w:rFonts w:cs="Times New Roman"/>
          <w:bCs/>
          <w:shd w:val="clear" w:color="auto" w:fill="FFFFFF"/>
        </w:rPr>
      </w:pPr>
    </w:p>
    <w:p w14:paraId="2590D755" w14:textId="77777777" w:rsidR="00051D62" w:rsidRPr="00051D62" w:rsidRDefault="00051D62" w:rsidP="00051D62">
      <w:pPr>
        <w:spacing w:line="276" w:lineRule="auto"/>
        <w:ind w:left="643"/>
        <w:rPr>
          <w:rFonts w:cs="Times New Roman"/>
          <w:bCs/>
          <w:color w:val="000000" w:themeColor="text1"/>
        </w:rPr>
      </w:pPr>
      <w:r w:rsidRPr="00051D62">
        <w:rPr>
          <w:rFonts w:cs="Times New Roman"/>
          <w:bCs/>
        </w:rPr>
        <w:t>_____</w:t>
      </w:r>
      <w:r w:rsidRPr="00051D62">
        <w:rPr>
          <w:rFonts w:cs="Times New Roman"/>
          <w:bCs/>
          <w:i/>
          <w:iCs/>
          <w:u w:val="single"/>
        </w:rPr>
        <w:t>_(название участника тендера)</w:t>
      </w:r>
      <w:r w:rsidRPr="00051D62">
        <w:rPr>
          <w:rFonts w:cs="Times New Roman"/>
          <w:bCs/>
        </w:rPr>
        <w:t xml:space="preserve">______________ предлагает осуществить поставку следующей продукции/оказание услуги для </w:t>
      </w:r>
      <w:r w:rsidRPr="00051D62">
        <w:rPr>
          <w:rFonts w:cs="Times New Roman"/>
          <w:bCs/>
          <w:color w:val="000000" w:themeColor="text1"/>
          <w:shd w:val="clear" w:color="auto" w:fill="FFFFFF"/>
        </w:rPr>
        <w:t xml:space="preserve">ОАО «Банк </w:t>
      </w:r>
      <w:proofErr w:type="spellStart"/>
      <w:r w:rsidRPr="00051D62">
        <w:rPr>
          <w:rFonts w:cs="Times New Roman"/>
          <w:bCs/>
          <w:color w:val="000000" w:themeColor="text1"/>
          <w:shd w:val="clear" w:color="auto" w:fill="FFFFFF"/>
        </w:rPr>
        <w:t>Эсхата</w:t>
      </w:r>
      <w:proofErr w:type="spellEnd"/>
      <w:r w:rsidRPr="00051D62">
        <w:rPr>
          <w:rFonts w:cs="Times New Roman"/>
          <w:bCs/>
          <w:color w:val="000000" w:themeColor="text1"/>
          <w:shd w:val="clear" w:color="auto" w:fill="FFFFFF"/>
        </w:rPr>
        <w:t>» (далее Банк) _______________.</w:t>
      </w:r>
    </w:p>
    <w:p w14:paraId="40A1A26F" w14:textId="77777777" w:rsidR="00051D62" w:rsidRDefault="00051D62" w:rsidP="00051D6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left="643"/>
        <w:jc w:val="both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>
        <w:rPr>
          <w:rStyle w:val="af4"/>
          <w:rFonts w:ascii="Times New Roman" w:hAnsi="Times New Roman" w:cs="Times New Roman"/>
          <w:sz w:val="24"/>
          <w:szCs w:val="24"/>
        </w:rPr>
        <w:t>Стоимость____</w:t>
      </w:r>
      <w:proofErr w:type="gramStart"/>
      <w:r>
        <w:rPr>
          <w:rStyle w:val="af4"/>
          <w:rFonts w:ascii="Times New Roman" w:hAnsi="Times New Roman" w:cs="Times New Roman"/>
          <w:sz w:val="24"/>
          <w:szCs w:val="24"/>
        </w:rPr>
        <w:t>_</w:t>
      </w:r>
      <w:r>
        <w:rPr>
          <w:rStyle w:val="af4"/>
          <w:rFonts w:ascii="Times New Roman" w:hAnsi="Times New Roman" w:cs="Times New Roman"/>
          <w:i/>
          <w:iCs/>
          <w:sz w:val="24"/>
          <w:szCs w:val="24"/>
          <w:u w:val="single"/>
        </w:rPr>
        <w:t>(</w:t>
      </w:r>
      <w:proofErr w:type="gramEnd"/>
      <w:r>
        <w:rPr>
          <w:rStyle w:val="af4"/>
          <w:rFonts w:ascii="Times New Roman" w:hAnsi="Times New Roman" w:cs="Times New Roman"/>
          <w:i/>
          <w:iCs/>
          <w:sz w:val="24"/>
          <w:szCs w:val="24"/>
          <w:u w:val="single"/>
        </w:rPr>
        <w:t xml:space="preserve">цифрами и </w:t>
      </w:r>
      <w:proofErr w:type="gramStart"/>
      <w:r>
        <w:rPr>
          <w:rStyle w:val="af4"/>
          <w:rFonts w:ascii="Times New Roman" w:hAnsi="Times New Roman" w:cs="Times New Roman"/>
          <w:i/>
          <w:iCs/>
          <w:sz w:val="24"/>
          <w:szCs w:val="24"/>
          <w:u w:val="single"/>
        </w:rPr>
        <w:t>прописью)</w:t>
      </w:r>
      <w:r>
        <w:rPr>
          <w:rStyle w:val="af4"/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Style w:val="af4"/>
          <w:rFonts w:ascii="Times New Roman" w:hAnsi="Times New Roman" w:cs="Times New Roman"/>
          <w:sz w:val="24"/>
          <w:szCs w:val="24"/>
        </w:rPr>
        <w:t xml:space="preserve">________________________сомони, в том числе НДС ____________________________. </w:t>
      </w:r>
    </w:p>
    <w:p w14:paraId="13E14BE7" w14:textId="77777777" w:rsidR="00051D62" w:rsidRDefault="00051D62" w:rsidP="00051D6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left="643"/>
        <w:jc w:val="both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>
        <w:rPr>
          <w:rStyle w:val="af4"/>
          <w:rFonts w:ascii="Times New Roman" w:hAnsi="Times New Roman" w:cs="Times New Roman"/>
          <w:sz w:val="24"/>
          <w:szCs w:val="24"/>
        </w:rPr>
        <w:t xml:space="preserve">Неотъемлемой частью настоящей Тендерной заявки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Коммерческое предложение </w:t>
      </w:r>
      <w:r>
        <w:rPr>
          <w:rStyle w:val="af4"/>
          <w:rFonts w:ascii="Times New Roman" w:hAnsi="Times New Roman" w:cs="Times New Roman"/>
          <w:sz w:val="24"/>
          <w:szCs w:val="24"/>
        </w:rPr>
        <w:t xml:space="preserve">(Приложение №___).                                                        </w:t>
      </w:r>
    </w:p>
    <w:p w14:paraId="45298CA6" w14:textId="77777777" w:rsidR="00051D62" w:rsidRDefault="00051D62" w:rsidP="00051D6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left="643"/>
        <w:jc w:val="both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>
        <w:rPr>
          <w:rStyle w:val="af4"/>
          <w:rFonts w:ascii="Times New Roman" w:hAnsi="Times New Roman" w:cs="Times New Roman"/>
          <w:sz w:val="24"/>
          <w:szCs w:val="24"/>
        </w:rPr>
        <w:t xml:space="preserve">К заявке также прилагаются следующие документы: </w:t>
      </w:r>
    </w:p>
    <w:p w14:paraId="66058AD4" w14:textId="77777777" w:rsidR="00051D62" w:rsidRDefault="00051D62" w:rsidP="00051D6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left="643"/>
        <w:jc w:val="both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>
        <w:rPr>
          <w:rStyle w:val="af4"/>
          <w:rFonts w:ascii="Times New Roman" w:hAnsi="Times New Roman" w:cs="Times New Roman"/>
          <w:sz w:val="24"/>
          <w:szCs w:val="24"/>
        </w:rPr>
        <w:t>1.________________________________</w:t>
      </w:r>
    </w:p>
    <w:p w14:paraId="7DABCEA3" w14:textId="77777777" w:rsidR="00051D62" w:rsidRDefault="00051D62" w:rsidP="00051D6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left="643"/>
        <w:jc w:val="both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>
        <w:rPr>
          <w:rStyle w:val="af4"/>
          <w:rFonts w:ascii="Times New Roman" w:hAnsi="Times New Roman" w:cs="Times New Roman"/>
          <w:sz w:val="24"/>
          <w:szCs w:val="24"/>
        </w:rPr>
        <w:t>2.________________________________</w:t>
      </w:r>
    </w:p>
    <w:p w14:paraId="43234B6F" w14:textId="77777777" w:rsidR="00051D62" w:rsidRDefault="00051D62" w:rsidP="00051D6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left="643"/>
        <w:jc w:val="both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14:paraId="3C11C3DB" w14:textId="77777777" w:rsidR="00051D62" w:rsidRDefault="00051D62" w:rsidP="00051D6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left="643"/>
        <w:jc w:val="both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>
        <w:rPr>
          <w:rStyle w:val="af4"/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Style w:val="af4"/>
          <w:rFonts w:ascii="Times New Roman" w:hAnsi="Times New Roman" w:cs="Times New Roman"/>
          <w:sz w:val="24"/>
          <w:szCs w:val="24"/>
        </w:rPr>
        <w:t>т.д.</w:t>
      </w:r>
      <w:proofErr w:type="gramEnd"/>
      <w:r>
        <w:rPr>
          <w:rStyle w:val="af4"/>
          <w:rFonts w:ascii="Times New Roman" w:hAnsi="Times New Roman" w:cs="Times New Roman"/>
          <w:sz w:val="24"/>
          <w:szCs w:val="24"/>
        </w:rPr>
        <w:t xml:space="preserve"> (необходимо перечислить все представляемые документы с указанием количества листов и экземпляров).</w:t>
      </w:r>
    </w:p>
    <w:p w14:paraId="10937CEE" w14:textId="77777777" w:rsidR="00051D62" w:rsidRDefault="00051D62" w:rsidP="00051D6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left="643"/>
        <w:jc w:val="both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>
        <w:rPr>
          <w:rStyle w:val="af4"/>
          <w:rFonts w:ascii="Times New Roman" w:hAnsi="Times New Roman" w:cs="Times New Roman"/>
          <w:sz w:val="24"/>
          <w:szCs w:val="24"/>
        </w:rPr>
        <w:t>Мы обязуемся представлять любую информацию, которую Вы сочтете необходимой для проверки сведений, содержащихся в данной Тендерной заявке, или относящихся к нашему опыту или квалификации.</w:t>
      </w:r>
    </w:p>
    <w:p w14:paraId="052C7E2C" w14:textId="77777777" w:rsidR="00051D62" w:rsidRDefault="00051D62" w:rsidP="00051D62">
      <w:pPr>
        <w:keepNext/>
        <w:tabs>
          <w:tab w:val="left" w:pos="1134"/>
        </w:tabs>
        <w:spacing w:line="276" w:lineRule="auto"/>
        <w:ind w:left="643"/>
      </w:pPr>
      <w:r w:rsidRPr="00051D62">
        <w:rPr>
          <w:rStyle w:val="af4"/>
          <w:rFonts w:ascii="Times New Roman" w:hAnsi="Times New Roman" w:cs="Times New Roman"/>
          <w:szCs w:val="24"/>
        </w:rPr>
        <w:t xml:space="preserve">Нам известно, что Банк оставляет за </w:t>
      </w:r>
      <w:r w:rsidRPr="00051D62">
        <w:rPr>
          <w:rFonts w:cs="Times New Roman"/>
          <w:bCs/>
        </w:rPr>
        <w:t>собой право принять или отклонить предложение по данному Тендеру, отменить процесс приобретения и отклонить все предложения в любое время до заключения договора (контракта). Следовательно, Банк не несёт ответственность перед участниками и не принимает на себя обязательство об информировании</w:t>
      </w:r>
      <w:r w:rsidRPr="00051D62">
        <w:rPr>
          <w:rFonts w:cs="Times New Roman"/>
        </w:rPr>
        <w:t xml:space="preserve"> участников о причинах того или иного действия Банка.</w:t>
      </w:r>
    </w:p>
    <w:p w14:paraId="16F10AF2" w14:textId="77777777" w:rsidR="00051D62" w:rsidRDefault="00051D62" w:rsidP="00051D6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left="643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83D98CB" w14:textId="77777777" w:rsidR="00051D62" w:rsidRDefault="00051D62" w:rsidP="00051D6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ind w:left="643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E1B6409" w14:textId="77777777" w:rsidR="00051D62" w:rsidRDefault="00051D62" w:rsidP="00051D6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ind w:left="643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f4"/>
          <w:rFonts w:ascii="Times New Roman" w:hAnsi="Times New Roman" w:cs="Times New Roman"/>
          <w:sz w:val="24"/>
          <w:szCs w:val="24"/>
        </w:rPr>
        <w:t>_________________                           ________________                      ___________________</w:t>
      </w:r>
    </w:p>
    <w:p w14:paraId="6BD98143" w14:textId="77777777" w:rsidR="00051D62" w:rsidRDefault="00051D62" w:rsidP="00051D62">
      <w:pPr>
        <w:ind w:left="643"/>
        <w:rPr>
          <w:rStyle w:val="af4"/>
          <w:rFonts w:ascii="Times New Roman" w:hAnsi="Times New Roman" w:cs="Times New Roman"/>
          <w:sz w:val="20"/>
          <w:szCs w:val="20"/>
        </w:rPr>
      </w:pPr>
      <w:r w:rsidRPr="00051D62">
        <w:rPr>
          <w:rStyle w:val="af4"/>
          <w:rFonts w:ascii="Times New Roman" w:hAnsi="Times New Roman" w:cs="Times New Roman"/>
          <w:szCs w:val="24"/>
        </w:rPr>
        <w:t xml:space="preserve">        </w:t>
      </w:r>
      <w:r w:rsidRPr="00051D62">
        <w:rPr>
          <w:rStyle w:val="af4"/>
          <w:rFonts w:ascii="Times New Roman" w:hAnsi="Times New Roman" w:cs="Times New Roman"/>
          <w:sz w:val="20"/>
          <w:szCs w:val="20"/>
        </w:rPr>
        <w:t>(</w:t>
      </w:r>
      <w:proofErr w:type="gramStart"/>
      <w:r w:rsidRPr="00051D62">
        <w:rPr>
          <w:rStyle w:val="af4"/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051D62">
        <w:rPr>
          <w:rStyle w:val="af4"/>
          <w:rFonts w:ascii="Times New Roman" w:hAnsi="Times New Roman" w:cs="Times New Roman"/>
          <w:sz w:val="20"/>
          <w:szCs w:val="20"/>
        </w:rPr>
        <w:t xml:space="preserve">                                       </w:t>
      </w:r>
      <w:proofErr w:type="gramStart"/>
      <w:r w:rsidRPr="00051D62">
        <w:rPr>
          <w:rStyle w:val="af4"/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051D62">
        <w:rPr>
          <w:rStyle w:val="af4"/>
          <w:rFonts w:ascii="Times New Roman" w:hAnsi="Times New Roman" w:cs="Times New Roman"/>
          <w:sz w:val="20"/>
          <w:szCs w:val="20"/>
        </w:rPr>
        <w:t xml:space="preserve">подпись, </w:t>
      </w:r>
      <w:proofErr w:type="gramStart"/>
      <w:r w:rsidRPr="00051D62">
        <w:rPr>
          <w:rStyle w:val="af4"/>
          <w:rFonts w:ascii="Times New Roman" w:hAnsi="Times New Roman" w:cs="Times New Roman"/>
          <w:sz w:val="20"/>
          <w:szCs w:val="20"/>
        </w:rPr>
        <w:t xml:space="preserve">печать)   </w:t>
      </w:r>
      <w:proofErr w:type="gramEnd"/>
      <w:r w:rsidRPr="00051D62">
        <w:rPr>
          <w:rStyle w:val="af4"/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proofErr w:type="gramStart"/>
      <w:r w:rsidRPr="00051D62">
        <w:rPr>
          <w:rStyle w:val="af4"/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051D62">
        <w:rPr>
          <w:rStyle w:val="af4"/>
          <w:rFonts w:ascii="Times New Roman" w:hAnsi="Times New Roman" w:cs="Times New Roman"/>
          <w:sz w:val="20"/>
          <w:szCs w:val="20"/>
        </w:rPr>
        <w:t>Ф.И.О.)</w:t>
      </w:r>
    </w:p>
    <w:p w14:paraId="75964D09" w14:textId="77777777" w:rsidR="00051D62" w:rsidRDefault="00051D62" w:rsidP="00051D62">
      <w:pPr>
        <w:ind w:left="643"/>
        <w:rPr>
          <w:rStyle w:val="af4"/>
          <w:rFonts w:ascii="Times New Roman" w:hAnsi="Times New Roman" w:cs="Times New Roman"/>
          <w:sz w:val="20"/>
          <w:szCs w:val="20"/>
        </w:rPr>
      </w:pPr>
    </w:p>
    <w:p w14:paraId="08A4AA58" w14:textId="77777777" w:rsidR="00051D62" w:rsidRPr="00051D62" w:rsidRDefault="00051D62" w:rsidP="00051D62">
      <w:pPr>
        <w:ind w:left="643"/>
        <w:rPr>
          <w:b/>
          <w:bCs/>
          <w:sz w:val="20"/>
          <w:szCs w:val="20"/>
          <w:lang w:val="kk-KZ"/>
        </w:rPr>
      </w:pPr>
      <w:r w:rsidRPr="00051D62">
        <w:rPr>
          <w:b/>
          <w:bCs/>
          <w:sz w:val="20"/>
          <w:szCs w:val="20"/>
          <w:lang w:val="kk-KZ"/>
        </w:rPr>
        <w:lastRenderedPageBreak/>
        <w:t>Приложение № 2 к Тендерной документации</w:t>
      </w:r>
    </w:p>
    <w:p w14:paraId="30279962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  <w:r w:rsidRPr="00051D62">
        <w:rPr>
          <w:b/>
          <w:bCs/>
          <w:sz w:val="20"/>
          <w:szCs w:val="20"/>
        </w:rPr>
        <w:t>Коммерческое предложение</w:t>
      </w:r>
    </w:p>
    <w:p w14:paraId="7A340CE7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  <w:r w:rsidRPr="00051D62">
        <w:rPr>
          <w:b/>
          <w:bCs/>
          <w:sz w:val="20"/>
          <w:szCs w:val="20"/>
        </w:rPr>
        <w:t>на поставляемую продукцию (оказание услуг)</w:t>
      </w:r>
    </w:p>
    <w:p w14:paraId="39E004FC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</w:p>
    <w:p w14:paraId="622C162E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  <w:r w:rsidRPr="00051D62">
        <w:rPr>
          <w:b/>
          <w:bCs/>
          <w:sz w:val="20"/>
          <w:szCs w:val="20"/>
        </w:rPr>
        <w:t>____________________________________________________</w:t>
      </w:r>
    </w:p>
    <w:p w14:paraId="505BCC5C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  <w:r w:rsidRPr="00051D62">
        <w:rPr>
          <w:b/>
          <w:bCs/>
          <w:sz w:val="20"/>
          <w:szCs w:val="20"/>
        </w:rPr>
        <w:t>(наименование участника)</w:t>
      </w:r>
    </w:p>
    <w:p w14:paraId="6CBBC39B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</w:p>
    <w:p w14:paraId="7A4BF782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</w:p>
    <w:p w14:paraId="4F632D23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  <w:r w:rsidRPr="00051D62">
        <w:rPr>
          <w:b/>
          <w:bCs/>
          <w:sz w:val="20"/>
          <w:szCs w:val="20"/>
        </w:rPr>
        <w:t>Цены указываются с учетом НДС</w:t>
      </w:r>
    </w:p>
    <w:p w14:paraId="2AC77BBF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</w:p>
    <w:tbl>
      <w:tblPr>
        <w:tblStyle w:val="af5"/>
        <w:tblW w:w="9615" w:type="dxa"/>
        <w:tblLayout w:type="fixed"/>
        <w:tblLook w:val="04A0" w:firstRow="1" w:lastRow="0" w:firstColumn="1" w:lastColumn="0" w:noHBand="0" w:noVBand="1"/>
      </w:tblPr>
      <w:tblGrid>
        <w:gridCol w:w="704"/>
        <w:gridCol w:w="3824"/>
        <w:gridCol w:w="5087"/>
      </w:tblGrid>
      <w:tr w:rsidR="00051D62" w:rsidRPr="00051D62" w14:paraId="1A0A8FD0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E314AB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  <w:r w:rsidRPr="00051D6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9CCC7F" w14:textId="3BB77AF2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5DFEF2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</w:tr>
      <w:tr w:rsidR="00051D62" w:rsidRPr="00051D62" w14:paraId="3E4D6383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E8D2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  <w:lang w:val="en-US"/>
              </w:rPr>
            </w:pPr>
            <w:r w:rsidRPr="00051D62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73FD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  <w:r w:rsidRPr="00051D62">
              <w:rPr>
                <w:b/>
                <w:bCs/>
                <w:sz w:val="20"/>
                <w:szCs w:val="20"/>
              </w:rPr>
              <w:t>Наименование оборудования/услуги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977D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</w:tr>
      <w:tr w:rsidR="00051D62" w:rsidRPr="00051D62" w14:paraId="66E7AE37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EE8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  <w:lang w:val="en-US"/>
              </w:rPr>
            </w:pPr>
            <w:r w:rsidRPr="00051D62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9DB6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  <w:r w:rsidRPr="00051D62">
              <w:rPr>
                <w:b/>
                <w:bCs/>
                <w:sz w:val="20"/>
                <w:szCs w:val="20"/>
              </w:rPr>
              <w:t>Модель (если есть необходимость)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2A61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</w:tr>
      <w:tr w:rsidR="00051D62" w:rsidRPr="00051D62" w14:paraId="0C03C30C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7228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  <w:lang w:val="en-US"/>
              </w:rPr>
            </w:pPr>
            <w:r w:rsidRPr="00051D62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643D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  <w:r w:rsidRPr="00051D62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4DBA" w14:textId="73E5534A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</w:tr>
      <w:tr w:rsidR="00051D62" w:rsidRPr="00051D62" w14:paraId="053BF957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5B1C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  <w:lang w:val="en-US"/>
              </w:rPr>
            </w:pPr>
            <w:r w:rsidRPr="00051D62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FA0B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  <w:r w:rsidRPr="00051D62">
              <w:rPr>
                <w:b/>
                <w:bCs/>
                <w:sz w:val="20"/>
                <w:szCs w:val="20"/>
              </w:rPr>
              <w:t>Цена за одну единицу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CAA" w14:textId="6DA4B4DC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</w:tr>
      <w:tr w:rsidR="00051D62" w:rsidRPr="00051D62" w14:paraId="78F6D7B9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4170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  <w:lang w:val="en-US"/>
              </w:rPr>
            </w:pPr>
            <w:r w:rsidRPr="00051D62"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66C9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  <w:r w:rsidRPr="00051D62">
              <w:rPr>
                <w:b/>
                <w:bCs/>
                <w:sz w:val="20"/>
                <w:szCs w:val="20"/>
              </w:rPr>
              <w:t>Условия оплаты (30%)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2BF3" w14:textId="260CD288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</w:tr>
      <w:tr w:rsidR="00051D62" w:rsidRPr="00051D62" w14:paraId="6711BFE2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DB3B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  <w:lang w:val="en-US"/>
              </w:rPr>
            </w:pPr>
            <w:r w:rsidRPr="00051D62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2633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  <w:r w:rsidRPr="00051D62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3C1C" w14:textId="08F45EAC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  <w:r w:rsidRPr="00051D6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85079" wp14:editId="49DD9742">
                      <wp:simplePos x="0" y="0"/>
                      <wp:positionH relativeFrom="column">
                        <wp:posOffset>-1569720</wp:posOffset>
                      </wp:positionH>
                      <wp:positionV relativeFrom="paragraph">
                        <wp:posOffset>-642620</wp:posOffset>
                      </wp:positionV>
                      <wp:extent cx="3685540" cy="886460"/>
                      <wp:effectExtent l="0" t="666750" r="0" b="675640"/>
                      <wp:wrapNone/>
                      <wp:docPr id="1260457063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69367">
                                <a:off x="0" y="0"/>
                                <a:ext cx="3685540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4419F6" w14:textId="77777777" w:rsidR="00051D62" w:rsidRPr="00051D62" w:rsidRDefault="00051D62" w:rsidP="00051D62">
                                  <w:pPr>
                                    <w:tabs>
                                      <w:tab w:val="left" w:pos="350"/>
                                    </w:tabs>
                                    <w:jc w:val="center"/>
                                    <w:rPr>
                                      <w:rFonts w:cs="Times New Roman"/>
                                      <w:b/>
                                      <w:outline/>
                                      <w:color w:val="A02B93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51D62">
                                    <w:rPr>
                                      <w:rFonts w:cs="Times New Roman"/>
                                      <w:b/>
                                      <w:outline/>
                                      <w:color w:val="A02B93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850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123.6pt;margin-top:-50.6pt;width:290.2pt;height:69.8pt;rotation:-156263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" filled="f" stroked="f">
                      <v:textbox>
                        <w:txbxContent>
                          <w:p w14:paraId="0D4419F6" w14:textId="77777777" w:rsidR="00051D62" w:rsidRPr="00051D62" w:rsidRDefault="00051D62" w:rsidP="00051D62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cs="Times New Roman"/>
                                <w:b/>
                                <w:outline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51D62">
                              <w:rPr>
                                <w:rFonts w:cs="Times New Roman"/>
                                <w:b/>
                                <w:outline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1D62" w:rsidRPr="00051D62" w14:paraId="675FF97A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2668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  <w:lang w:val="en-US"/>
              </w:rPr>
            </w:pPr>
            <w:r w:rsidRPr="00051D62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2D6F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  <w:r w:rsidRPr="00051D62">
              <w:rPr>
                <w:b/>
                <w:bCs/>
                <w:sz w:val="20"/>
                <w:szCs w:val="20"/>
              </w:rPr>
              <w:t>Срок поставки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A5E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</w:tr>
      <w:tr w:rsidR="00051D62" w:rsidRPr="00051D62" w14:paraId="2CF9CA26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BBA6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  <w:lang w:val="en-US"/>
              </w:rPr>
            </w:pPr>
            <w:r w:rsidRPr="00051D62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B295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  <w:r w:rsidRPr="00051D62">
              <w:rPr>
                <w:b/>
                <w:bCs/>
                <w:sz w:val="20"/>
                <w:szCs w:val="20"/>
              </w:rPr>
              <w:t>Срок гарантии/условия гарантии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F1D1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</w:tr>
      <w:tr w:rsidR="00051D62" w:rsidRPr="00051D62" w14:paraId="2DCE3052" w14:textId="7777777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EAE0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  <w:lang w:val="en-US"/>
              </w:rPr>
            </w:pPr>
            <w:r w:rsidRPr="00051D62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4967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  <w:lang w:val="en-US"/>
              </w:rPr>
            </w:pPr>
            <w:r w:rsidRPr="00051D62">
              <w:rPr>
                <w:b/>
                <w:bCs/>
                <w:sz w:val="20"/>
                <w:szCs w:val="20"/>
              </w:rPr>
              <w:t>Регион доставки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A678" w14:textId="77777777" w:rsidR="00051D62" w:rsidRPr="00051D62" w:rsidRDefault="00051D62" w:rsidP="00051D62">
            <w:pPr>
              <w:spacing w:after="160" w:line="278" w:lineRule="auto"/>
              <w:ind w:left="643"/>
              <w:rPr>
                <w:b/>
                <w:bCs/>
                <w:sz w:val="20"/>
                <w:szCs w:val="20"/>
              </w:rPr>
            </w:pPr>
          </w:p>
        </w:tc>
      </w:tr>
    </w:tbl>
    <w:p w14:paraId="5A2094C0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</w:p>
    <w:p w14:paraId="2EF77739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</w:p>
    <w:p w14:paraId="66A587A4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  <w:r w:rsidRPr="00051D62">
        <w:rPr>
          <w:b/>
          <w:bCs/>
          <w:sz w:val="20"/>
          <w:szCs w:val="20"/>
        </w:rPr>
        <w:t>_________________                           ________________                      ___________________</w:t>
      </w:r>
    </w:p>
    <w:p w14:paraId="775198C8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  <w:r w:rsidRPr="00051D62">
        <w:rPr>
          <w:b/>
          <w:bCs/>
          <w:sz w:val="20"/>
          <w:szCs w:val="20"/>
        </w:rPr>
        <w:t>(</w:t>
      </w:r>
      <w:proofErr w:type="gramStart"/>
      <w:r w:rsidRPr="00051D62">
        <w:rPr>
          <w:b/>
          <w:bCs/>
          <w:sz w:val="20"/>
          <w:szCs w:val="20"/>
        </w:rPr>
        <w:t xml:space="preserve">должность)   </w:t>
      </w:r>
      <w:proofErr w:type="gramEnd"/>
      <w:r w:rsidRPr="00051D62">
        <w:rPr>
          <w:b/>
          <w:bCs/>
          <w:sz w:val="20"/>
          <w:szCs w:val="20"/>
        </w:rPr>
        <w:t xml:space="preserve">                                       </w:t>
      </w:r>
      <w:proofErr w:type="gramStart"/>
      <w:r w:rsidRPr="00051D62">
        <w:rPr>
          <w:b/>
          <w:bCs/>
          <w:sz w:val="20"/>
          <w:szCs w:val="20"/>
        </w:rPr>
        <w:t xml:space="preserve">   (</w:t>
      </w:r>
      <w:proofErr w:type="gramEnd"/>
      <w:r w:rsidRPr="00051D62">
        <w:rPr>
          <w:b/>
          <w:bCs/>
          <w:sz w:val="20"/>
          <w:szCs w:val="20"/>
        </w:rPr>
        <w:t xml:space="preserve">подпись, </w:t>
      </w:r>
      <w:proofErr w:type="gramStart"/>
      <w:r w:rsidRPr="00051D62">
        <w:rPr>
          <w:b/>
          <w:bCs/>
          <w:sz w:val="20"/>
          <w:szCs w:val="20"/>
        </w:rPr>
        <w:t xml:space="preserve">печать)   </w:t>
      </w:r>
      <w:proofErr w:type="gramEnd"/>
      <w:r w:rsidRPr="00051D62">
        <w:rPr>
          <w:b/>
          <w:bCs/>
          <w:sz w:val="20"/>
          <w:szCs w:val="20"/>
        </w:rPr>
        <w:t xml:space="preserve">                                         </w:t>
      </w:r>
      <w:proofErr w:type="gramStart"/>
      <w:r w:rsidRPr="00051D62">
        <w:rPr>
          <w:b/>
          <w:bCs/>
          <w:sz w:val="20"/>
          <w:szCs w:val="20"/>
        </w:rPr>
        <w:t xml:space="preserve">   (</w:t>
      </w:r>
      <w:proofErr w:type="gramEnd"/>
      <w:r w:rsidRPr="00051D62">
        <w:rPr>
          <w:b/>
          <w:bCs/>
          <w:sz w:val="20"/>
          <w:szCs w:val="20"/>
        </w:rPr>
        <w:t>Ф.И.О.)</w:t>
      </w:r>
    </w:p>
    <w:p w14:paraId="105F3AAD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</w:p>
    <w:p w14:paraId="4ED3D8BE" w14:textId="77777777" w:rsidR="00051D62" w:rsidRPr="00051D62" w:rsidRDefault="00051D62" w:rsidP="00051D62">
      <w:pPr>
        <w:ind w:left="643"/>
        <w:rPr>
          <w:b/>
          <w:bCs/>
          <w:sz w:val="20"/>
          <w:szCs w:val="20"/>
        </w:rPr>
      </w:pPr>
    </w:p>
    <w:p w14:paraId="22C35B02" w14:textId="551E8F28" w:rsidR="00BE6843" w:rsidRPr="007416F1" w:rsidRDefault="00BE6843" w:rsidP="00051D62"/>
    <w:sectPr w:rsidR="00BE6843" w:rsidRPr="0074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7F4"/>
    <w:multiLevelType w:val="hybridMultilevel"/>
    <w:tmpl w:val="D9C86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1BCA"/>
    <w:multiLevelType w:val="hybridMultilevel"/>
    <w:tmpl w:val="7F58E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7D41"/>
    <w:multiLevelType w:val="multilevel"/>
    <w:tmpl w:val="F000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13A72"/>
    <w:multiLevelType w:val="multilevel"/>
    <w:tmpl w:val="B604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14E00"/>
    <w:multiLevelType w:val="multilevel"/>
    <w:tmpl w:val="5400F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94C3F"/>
    <w:multiLevelType w:val="hybridMultilevel"/>
    <w:tmpl w:val="9E7A5404"/>
    <w:lvl w:ilvl="0" w:tplc="D18E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12896"/>
    <w:multiLevelType w:val="multilevel"/>
    <w:tmpl w:val="9112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76C10"/>
    <w:multiLevelType w:val="multilevel"/>
    <w:tmpl w:val="FE50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74541"/>
    <w:multiLevelType w:val="multilevel"/>
    <w:tmpl w:val="446E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13BF3"/>
    <w:multiLevelType w:val="hybridMultilevel"/>
    <w:tmpl w:val="34FACD3A"/>
    <w:lvl w:ilvl="0" w:tplc="D18E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02FD2"/>
    <w:multiLevelType w:val="multilevel"/>
    <w:tmpl w:val="A852D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02470"/>
    <w:multiLevelType w:val="multilevel"/>
    <w:tmpl w:val="3084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D4282"/>
    <w:multiLevelType w:val="multilevel"/>
    <w:tmpl w:val="C74C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D3274"/>
    <w:multiLevelType w:val="multilevel"/>
    <w:tmpl w:val="7772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A4C89"/>
    <w:multiLevelType w:val="multilevel"/>
    <w:tmpl w:val="C74C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9197E"/>
    <w:multiLevelType w:val="multilevel"/>
    <w:tmpl w:val="3B1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E6F38"/>
    <w:multiLevelType w:val="hybridMultilevel"/>
    <w:tmpl w:val="F7446E14"/>
    <w:lvl w:ilvl="0" w:tplc="D18E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C22F3"/>
    <w:multiLevelType w:val="multilevel"/>
    <w:tmpl w:val="D90A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1D77DB"/>
    <w:multiLevelType w:val="multilevel"/>
    <w:tmpl w:val="C74C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10AEE"/>
    <w:multiLevelType w:val="multilevel"/>
    <w:tmpl w:val="C74C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94403"/>
    <w:multiLevelType w:val="hybridMultilevel"/>
    <w:tmpl w:val="B07AB90C"/>
    <w:lvl w:ilvl="0" w:tplc="D18E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17074"/>
    <w:multiLevelType w:val="hybridMultilevel"/>
    <w:tmpl w:val="A04ABE9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7024E77"/>
    <w:multiLevelType w:val="multilevel"/>
    <w:tmpl w:val="C74C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0434F"/>
    <w:multiLevelType w:val="hybridMultilevel"/>
    <w:tmpl w:val="DEE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529D3"/>
    <w:multiLevelType w:val="multilevel"/>
    <w:tmpl w:val="841A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2269A"/>
    <w:multiLevelType w:val="multilevel"/>
    <w:tmpl w:val="1242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26111"/>
    <w:multiLevelType w:val="multilevel"/>
    <w:tmpl w:val="1D34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747302"/>
    <w:multiLevelType w:val="multilevel"/>
    <w:tmpl w:val="C74C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092ED1"/>
    <w:multiLevelType w:val="multilevel"/>
    <w:tmpl w:val="ADA6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4A6D26"/>
    <w:multiLevelType w:val="multilevel"/>
    <w:tmpl w:val="36A2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D3C24"/>
    <w:multiLevelType w:val="multilevel"/>
    <w:tmpl w:val="D8C4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482FA9"/>
    <w:multiLevelType w:val="hybridMultilevel"/>
    <w:tmpl w:val="535C5C2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63F03025"/>
    <w:multiLevelType w:val="hybridMultilevel"/>
    <w:tmpl w:val="92429AB2"/>
    <w:lvl w:ilvl="0" w:tplc="D18E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C3414"/>
    <w:multiLevelType w:val="multilevel"/>
    <w:tmpl w:val="4318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E41BD1"/>
    <w:multiLevelType w:val="hybridMultilevel"/>
    <w:tmpl w:val="C2C80B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8F25EB"/>
    <w:multiLevelType w:val="multilevel"/>
    <w:tmpl w:val="C74C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16200"/>
    <w:multiLevelType w:val="multilevel"/>
    <w:tmpl w:val="CA3A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9E4AC7"/>
    <w:multiLevelType w:val="multilevel"/>
    <w:tmpl w:val="06AC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BC4F0D"/>
    <w:multiLevelType w:val="multilevel"/>
    <w:tmpl w:val="C1C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1B0039"/>
    <w:multiLevelType w:val="multilevel"/>
    <w:tmpl w:val="7B4C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857BE1"/>
    <w:multiLevelType w:val="multilevel"/>
    <w:tmpl w:val="656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BE01B6"/>
    <w:multiLevelType w:val="hybridMultilevel"/>
    <w:tmpl w:val="AFA4AC0A"/>
    <w:lvl w:ilvl="0" w:tplc="D18E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13279">
    <w:abstractNumId w:val="11"/>
  </w:num>
  <w:num w:numId="2" w16cid:durableId="210728247">
    <w:abstractNumId w:val="15"/>
  </w:num>
  <w:num w:numId="3" w16cid:durableId="466120185">
    <w:abstractNumId w:val="2"/>
  </w:num>
  <w:num w:numId="4" w16cid:durableId="1910455999">
    <w:abstractNumId w:val="33"/>
  </w:num>
  <w:num w:numId="5" w16cid:durableId="83113622">
    <w:abstractNumId w:val="14"/>
  </w:num>
  <w:num w:numId="6" w16cid:durableId="1513183416">
    <w:abstractNumId w:val="39"/>
  </w:num>
  <w:num w:numId="7" w16cid:durableId="1680620919">
    <w:abstractNumId w:val="37"/>
  </w:num>
  <w:num w:numId="8" w16cid:durableId="172112797">
    <w:abstractNumId w:val="24"/>
  </w:num>
  <w:num w:numId="9" w16cid:durableId="930285416">
    <w:abstractNumId w:val="26"/>
  </w:num>
  <w:num w:numId="10" w16cid:durableId="1765689037">
    <w:abstractNumId w:val="34"/>
  </w:num>
  <w:num w:numId="11" w16cid:durableId="1036001941">
    <w:abstractNumId w:val="13"/>
  </w:num>
  <w:num w:numId="12" w16cid:durableId="1218476119">
    <w:abstractNumId w:val="30"/>
  </w:num>
  <w:num w:numId="13" w16cid:durableId="130565805">
    <w:abstractNumId w:val="29"/>
  </w:num>
  <w:num w:numId="14" w16cid:durableId="1187906786">
    <w:abstractNumId w:val="1"/>
  </w:num>
  <w:num w:numId="15" w16cid:durableId="464809985">
    <w:abstractNumId w:val="36"/>
  </w:num>
  <w:num w:numId="16" w16cid:durableId="843934047">
    <w:abstractNumId w:val="40"/>
  </w:num>
  <w:num w:numId="17" w16cid:durableId="216629109">
    <w:abstractNumId w:val="10"/>
  </w:num>
  <w:num w:numId="18" w16cid:durableId="564149125">
    <w:abstractNumId w:val="3"/>
  </w:num>
  <w:num w:numId="19" w16cid:durableId="1843356015">
    <w:abstractNumId w:val="4"/>
  </w:num>
  <w:num w:numId="20" w16cid:durableId="1596399818">
    <w:abstractNumId w:val="17"/>
  </w:num>
  <w:num w:numId="21" w16cid:durableId="1036656985">
    <w:abstractNumId w:val="28"/>
  </w:num>
  <w:num w:numId="22" w16cid:durableId="1477139723">
    <w:abstractNumId w:val="38"/>
  </w:num>
  <w:num w:numId="23" w16cid:durableId="1694065953">
    <w:abstractNumId w:val="6"/>
  </w:num>
  <w:num w:numId="24" w16cid:durableId="1020668308">
    <w:abstractNumId w:val="25"/>
  </w:num>
  <w:num w:numId="25" w16cid:durableId="1106271699">
    <w:abstractNumId w:val="8"/>
  </w:num>
  <w:num w:numId="26" w16cid:durableId="1206068710">
    <w:abstractNumId w:val="7"/>
  </w:num>
  <w:num w:numId="27" w16cid:durableId="2118864153">
    <w:abstractNumId w:val="35"/>
  </w:num>
  <w:num w:numId="28" w16cid:durableId="830294091">
    <w:abstractNumId w:val="19"/>
  </w:num>
  <w:num w:numId="29" w16cid:durableId="1595092849">
    <w:abstractNumId w:val="18"/>
  </w:num>
  <w:num w:numId="30" w16cid:durableId="978193904">
    <w:abstractNumId w:val="27"/>
  </w:num>
  <w:num w:numId="31" w16cid:durableId="1215385810">
    <w:abstractNumId w:val="20"/>
  </w:num>
  <w:num w:numId="32" w16cid:durableId="1301501161">
    <w:abstractNumId w:val="16"/>
  </w:num>
  <w:num w:numId="33" w16cid:durableId="1294865612">
    <w:abstractNumId w:val="41"/>
  </w:num>
  <w:num w:numId="34" w16cid:durableId="1665934360">
    <w:abstractNumId w:val="23"/>
  </w:num>
  <w:num w:numId="35" w16cid:durableId="1677684800">
    <w:abstractNumId w:val="5"/>
  </w:num>
  <w:num w:numId="36" w16cid:durableId="6443627">
    <w:abstractNumId w:val="9"/>
  </w:num>
  <w:num w:numId="37" w16cid:durableId="2058504861">
    <w:abstractNumId w:val="22"/>
  </w:num>
  <w:num w:numId="38" w16cid:durableId="622879636">
    <w:abstractNumId w:val="12"/>
  </w:num>
  <w:num w:numId="39" w16cid:durableId="1808739806">
    <w:abstractNumId w:val="32"/>
  </w:num>
  <w:num w:numId="40" w16cid:durableId="28186731">
    <w:abstractNumId w:val="0"/>
  </w:num>
  <w:num w:numId="41" w16cid:durableId="206563821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398091017">
    <w:abstractNumId w:val="21"/>
  </w:num>
  <w:num w:numId="43" w16cid:durableId="5931694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56"/>
    <w:rsid w:val="00051D62"/>
    <w:rsid w:val="000C6C7E"/>
    <w:rsid w:val="000F166E"/>
    <w:rsid w:val="00107480"/>
    <w:rsid w:val="00137DF3"/>
    <w:rsid w:val="00140657"/>
    <w:rsid w:val="00147A25"/>
    <w:rsid w:val="00183A97"/>
    <w:rsid w:val="00210CD8"/>
    <w:rsid w:val="00286242"/>
    <w:rsid w:val="003674F7"/>
    <w:rsid w:val="00385529"/>
    <w:rsid w:val="003C4F3F"/>
    <w:rsid w:val="00450F98"/>
    <w:rsid w:val="0045498C"/>
    <w:rsid w:val="00471B3C"/>
    <w:rsid w:val="00477FAD"/>
    <w:rsid w:val="004919BB"/>
    <w:rsid w:val="004A5E2B"/>
    <w:rsid w:val="004B5516"/>
    <w:rsid w:val="005862B8"/>
    <w:rsid w:val="005C4054"/>
    <w:rsid w:val="006202A2"/>
    <w:rsid w:val="0065241E"/>
    <w:rsid w:val="006F26D5"/>
    <w:rsid w:val="007346AB"/>
    <w:rsid w:val="007416F1"/>
    <w:rsid w:val="00746986"/>
    <w:rsid w:val="0077153A"/>
    <w:rsid w:val="007A48DE"/>
    <w:rsid w:val="007D33AC"/>
    <w:rsid w:val="00823590"/>
    <w:rsid w:val="00861852"/>
    <w:rsid w:val="00865383"/>
    <w:rsid w:val="008A74CA"/>
    <w:rsid w:val="00952A25"/>
    <w:rsid w:val="00B111BA"/>
    <w:rsid w:val="00B2419A"/>
    <w:rsid w:val="00B474BD"/>
    <w:rsid w:val="00B56ACB"/>
    <w:rsid w:val="00B80813"/>
    <w:rsid w:val="00BA061E"/>
    <w:rsid w:val="00BC05A5"/>
    <w:rsid w:val="00BD548D"/>
    <w:rsid w:val="00BE6843"/>
    <w:rsid w:val="00C465F6"/>
    <w:rsid w:val="00C47E56"/>
    <w:rsid w:val="00D55129"/>
    <w:rsid w:val="00D71567"/>
    <w:rsid w:val="00DA6D31"/>
    <w:rsid w:val="00E3343E"/>
    <w:rsid w:val="00E35EC2"/>
    <w:rsid w:val="00E4403A"/>
    <w:rsid w:val="00E8253C"/>
    <w:rsid w:val="00E872FA"/>
    <w:rsid w:val="00EA02DB"/>
    <w:rsid w:val="00EF6938"/>
    <w:rsid w:val="00F42421"/>
    <w:rsid w:val="00FA7688"/>
    <w:rsid w:val="00FA7AF7"/>
    <w:rsid w:val="00FB6321"/>
    <w:rsid w:val="00F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33E0"/>
  <w15:chartTrackingRefBased/>
  <w15:docId w15:val="{4C816CF7-D259-41CF-A931-5FB68DD3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47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47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E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E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E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E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E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E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7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E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E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E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E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7E5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8253C"/>
    <w:rPr>
      <w:rFonts w:ascii="Times New Roman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E3343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3343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3343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334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3343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3343E"/>
    <w:pPr>
      <w:spacing w:after="0" w:line="240" w:lineRule="auto"/>
    </w:pPr>
  </w:style>
  <w:style w:type="character" w:customStyle="1" w:styleId="af3">
    <w:name w:val="Основной текст_"/>
    <w:basedOn w:val="a0"/>
    <w:link w:val="11"/>
    <w:locked/>
    <w:rsid w:val="00051D62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3"/>
    <w:rsid w:val="00051D62"/>
    <w:pPr>
      <w:shd w:val="clear" w:color="auto" w:fill="FFFFFF"/>
      <w:spacing w:before="300" w:after="660" w:line="312" w:lineRule="exact"/>
    </w:pPr>
    <w:rPr>
      <w:rFonts w:ascii="Calibri" w:eastAsia="Calibri" w:hAnsi="Calibri" w:cs="Calibri"/>
      <w:sz w:val="21"/>
      <w:szCs w:val="21"/>
    </w:rPr>
  </w:style>
  <w:style w:type="character" w:customStyle="1" w:styleId="af4">
    <w:name w:val="Основной текст + Полужирный"/>
    <w:basedOn w:val="af3"/>
    <w:rsid w:val="00051D6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table" w:styleId="af5">
    <w:name w:val="Table Grid"/>
    <w:basedOn w:val="a1"/>
    <w:uiPriority w:val="39"/>
    <w:rsid w:val="0005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2448</Words>
  <Characters>15329</Characters>
  <Application>Microsoft Office Word</Application>
  <DocSecurity>0</DocSecurity>
  <Lines>289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Икромова Мунира Бобочоновна</cp:lastModifiedBy>
  <cp:revision>2</cp:revision>
  <dcterms:created xsi:type="dcterms:W3CDTF">2026-05-22T08:44:00Z</dcterms:created>
  <dcterms:modified xsi:type="dcterms:W3CDTF">2026-05-22T08:44:00Z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725e5e8e-3a71-4bf3-aa58-4a88ced6bae0</vt:lpwstr>
  </property>
</Properties>
</file>